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20"/>
        <w:jc w:val="center"/>
        <w:rPr>
          <w:rFonts w:ascii="Times New Roman;sans-serif" w:hAnsi="Times New Roman;sans-serif"/>
          <w:b/>
          <w:color w:val="000000"/>
          <w:sz w:val="27"/>
        </w:rPr>
      </w:pPr>
      <w:r>
        <w:rPr>
          <w:rFonts w:ascii="Times New Roman;sans-serif" w:hAnsi="Times New Roman;sans-serif"/>
          <w:b/>
          <w:color w:val="000000"/>
          <w:sz w:val="27"/>
        </w:rPr>
        <w:t>UNITED STATES SECURITIES AND EXCHANGE COMMISSION</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120"/>
        <w:jc w:val="center"/>
        <w:rPr>
          <w:rFonts w:ascii="Times New Roman;sans-serif" w:hAnsi="Times New Roman;sans-serif"/>
          <w:b/>
          <w:color w:val="000000"/>
          <w:sz w:val="36"/>
        </w:rPr>
      </w:pPr>
      <w:r>
        <w:rPr>
          <w:rFonts w:ascii="Times New Roman;sans-serif" w:hAnsi="Times New Roman;sans-serif"/>
          <w:b/>
          <w:color w:val="000000"/>
          <w:sz w:val="36"/>
        </w:rPr>
        <w:t xml:space="preserve">Form 6-K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REPORT OF FOREIGN PRIVATE ISSUER</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PURSUANT TO RULE 13a-16 OR 15d-16</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OF 1934</w:t>
      </w:r>
    </w:p>
    <w:p>
      <w:pPr>
        <w:pStyle w:val="TextBody"/>
        <w:bidi w:val="0"/>
        <w:spacing w:before="0" w:after="120"/>
        <w:jc w:val="center"/>
        <w:rPr/>
      </w:pPr>
      <w:r>
        <w:rPr/>
      </w:r>
    </w:p>
    <w:p>
      <w:pPr>
        <w:pStyle w:val="TextBody"/>
        <w:bidi w:val="0"/>
        <w:spacing w:lineRule="auto" w:line="288" w:before="0" w:after="120"/>
        <w:jc w:val="center"/>
        <w:rPr/>
      </w:pPr>
      <w:r>
        <w:rPr>
          <w:rFonts w:ascii="Times New Roman;sans-serif" w:hAnsi="Times New Roman;sans-serif"/>
          <w:b/>
          <w:color w:val="000000"/>
          <w:sz w:val="20"/>
        </w:rPr>
        <w:t>For the month of February</w:t>
      </w:r>
      <w:r>
        <w:rPr>
          <w:color w:val="000000"/>
          <w:shd w:fill="FFFFFF" w:val="clear"/>
        </w:rPr>
        <w:t xml:space="preserve"> </w:t>
      </w:r>
      <w:r>
        <w:rPr>
          <w:rFonts w:ascii="Times New Roman;sans-serif" w:hAnsi="Times New Roman;sans-serif"/>
          <w:b/>
          <w:color w:val="000000"/>
          <w:sz w:val="20"/>
          <w:shd w:fill="FFFFFF" w:val="clear"/>
        </w:rPr>
        <w:t>2024</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1-32575 </w:t>
      </w:r>
    </w:p>
    <w:p>
      <w:pPr>
        <w:pStyle w:val="TextBody"/>
        <w:bidi w:val="0"/>
        <w:spacing w:lineRule="auto" w:line="288" w:before="0" w:after="120"/>
        <w:jc w:val="center"/>
        <w:rPr>
          <w:rFonts w:ascii="Times New Roman;sans-serif" w:hAnsi="Times New Roman;sans-serif"/>
          <w:b/>
          <w:color w:val="000000"/>
          <w:sz w:val="48"/>
        </w:rPr>
      </w:pPr>
      <w:r>
        <w:rPr>
          <w:rFonts w:ascii="Times New Roman;sans-serif" w:hAnsi="Times New Roman;sans-serif"/>
          <w:b/>
          <w:color w:val="000000"/>
          <w:sz w:val="48"/>
        </w:rPr>
        <w:t xml:space="preserve">Shell plc </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England and Wales</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(Jurisdiction of incorporation or organization)</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Shell Centre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London, SE1 7NA</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United Kingdom</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files or will file annual reports under cover of Form 20-F or Form </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40-F.</w:t>
      </w:r>
    </w:p>
    <w:p>
      <w:pPr>
        <w:pStyle w:val="TextBody"/>
        <w:bidi w:val="0"/>
        <w:spacing w:lineRule="auto" w:line="288" w:before="0" w:after="120"/>
        <w:jc w:val="center"/>
        <w:rPr/>
      </w:pPr>
      <w:r>
        <w:rPr>
          <w:rFonts w:ascii="Times New Roman;sans-serif" w:hAnsi="Times New Roman;sans-serif"/>
          <w:b w:val="false"/>
          <w:color w:val="000000"/>
          <w:sz w:val="20"/>
        </w:rPr>
        <w:t xml:space="preserve">Form 20-F </w:t>
      </w:r>
      <w:r>
        <w:rPr>
          <w:color w:val="000000"/>
        </w:rPr>
        <w:t xml:space="preserve">☑ </w:t>
      </w:r>
      <w:r>
        <w:rPr>
          <w:rFonts w:ascii="Times New Roman;sans-serif" w:hAnsi="Times New Roman;sans-serif"/>
          <w:b w:val="false"/>
          <w:color w:val="000000"/>
          <w:sz w:val="20"/>
        </w:rPr>
        <w:t xml:space="preserve">Form 40-F </w:t>
      </w:r>
      <w:r>
        <w:rPr>
          <w:color w:val="000000"/>
        </w:rPr>
        <w:t>☐</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Shell plc (the “Registrant”) is filing the following exhibits on this Report on Form 6-K, each of which is hereby incorporated by reference:</w:t>
      </w:r>
    </w:p>
    <w:tbl>
      <w:tblPr>
        <w:tblW w:w="9900" w:type="dxa"/>
        <w:jc w:val="left"/>
        <w:tblInd w:w="0" w:type="dxa"/>
        <w:tblLayout w:type="fixed"/>
        <w:tblCellMar>
          <w:top w:w="28" w:type="dxa"/>
          <w:left w:w="28" w:type="dxa"/>
          <w:bottom w:w="28" w:type="dxa"/>
          <w:right w:w="28" w:type="dxa"/>
        </w:tblCellMar>
      </w:tblPr>
      <w:tblGrid>
        <w:gridCol w:w="272"/>
        <w:gridCol w:w="239"/>
        <w:gridCol w:w="240"/>
        <w:gridCol w:w="2671"/>
        <w:gridCol w:w="2671"/>
        <w:gridCol w:w="3807"/>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80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w:t>
            </w:r>
          </w:p>
        </w:tc>
        <w:tc>
          <w:tcPr>
            <w:tcW w:w="9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023exhibit991.htm">
              <w:r>
                <w:rPr>
                  <w:rStyle w:val="InternetLink"/>
                  <w:rFonts w:ascii="Times New Roman;sans-serif" w:hAnsi="Times New Roman;sans-serif"/>
                  <w:b w:val="false"/>
                  <w:color w:val="0000FF"/>
                  <w:sz w:val="20"/>
                  <w:u w:val="single"/>
                </w:rPr>
                <w:t>99.1</w:t>
              </w:r>
            </w:hyperlink>
          </w:p>
        </w:tc>
        <w:tc>
          <w:tcPr>
            <w:tcW w:w="9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release.</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023exhibit992.htm">
              <w:r>
                <w:rPr>
                  <w:rStyle w:val="InternetLink"/>
                  <w:rFonts w:ascii="Times New Roman;sans-serif" w:hAnsi="Times New Roman;sans-serif"/>
                  <w:b w:val="false"/>
                  <w:color w:val="0000FF"/>
                  <w:sz w:val="20"/>
                  <w:u w:val="single"/>
                </w:rPr>
                <w:t>99.2</w:t>
              </w:r>
            </w:hyperlink>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Shell plc – Three and twelve month periods ended December 31, 2023 Unaudited Condensed Financial Report.</w:t>
            </w:r>
          </w:p>
        </w:tc>
      </w:tr>
    </w:tbl>
    <w:p>
      <w:pPr>
        <w:pStyle w:val="TextBody"/>
        <w:bidi w:val="0"/>
        <w:spacing w:lineRule="auto" w:line="288" w:before="0" w:after="120"/>
        <w:jc w:val="left"/>
        <w:rPr/>
      </w:pPr>
      <w:r>
        <w:rPr>
          <w:rFonts w:ascii="Times New Roman;sans-serif" w:hAnsi="Times New Roman;sans-serif"/>
          <w:b w:val="false"/>
          <w:color w:val="000000"/>
          <w:sz w:val="20"/>
          <w:shd w:fill="FFFFFF" w:val="clear"/>
        </w:rPr>
        <w:t>This Report on Form 6-K contains the Unaudited Cond</w:t>
      </w:r>
      <w:r>
        <w:rPr>
          <w:rFonts w:ascii="Times New Roman;sans-serif" w:hAnsi="Times New Roman;sans-serif"/>
          <w:b w:val="false"/>
          <w:color w:val="000000"/>
          <w:sz w:val="20"/>
        </w:rPr>
        <w:t>ensed Financial Report. This Unaudited Condensed Financial Report contains the Unaudited Condensed Consolidated Financial Statements of the Registrant and its subsidiaries for the three and twelve month periods ended December 31, 2023, and Business Review in respect of such periods.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on Form 6-K is incorporated by reference into:</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the Registration Statement on Form F-3 of Shell plc, Shell Finance US Inc. and Shell International Finance B.V. (Registration Numbers 333-276068, 333-276068-01 and 333-276068-02); and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the Registration Statements on Form S-8 of Shell plc (Registration Numbers 333-262396 and 333-272192).</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Shell plc</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bl>
      <w:tblPr>
        <w:tblW w:w="2834" w:type="dxa"/>
        <w:jc w:val="left"/>
        <w:tblInd w:w="0" w:type="dxa"/>
        <w:tblLayout w:type="fixed"/>
        <w:tblCellMar>
          <w:top w:w="28" w:type="dxa"/>
          <w:left w:w="28" w:type="dxa"/>
          <w:bottom w:w="28" w:type="dxa"/>
          <w:right w:w="28" w:type="dxa"/>
        </w:tblCellMar>
      </w:tblPr>
      <w:tblGrid>
        <w:gridCol w:w="151"/>
        <w:gridCol w:w="134"/>
        <w:gridCol w:w="135"/>
        <w:gridCol w:w="704"/>
        <w:gridCol w:w="704"/>
        <w:gridCol w:w="1006"/>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Caroline J.M. Omloo</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Caroline J.M. Omloo</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Company Secretary</w:t>
            </w:r>
          </w:p>
        </w:tc>
      </w:tr>
    </w:tbl>
    <w:p>
      <w:pPr>
        <w:pStyle w:val="TextBody"/>
        <w:bidi w:val="0"/>
        <w:spacing w:lineRule="auto" w:line="288" w:before="0" w:after="120"/>
        <w:jc w:val="left"/>
        <w:rPr/>
      </w:pPr>
      <w:r>
        <w:rPr>
          <w:rFonts w:ascii="Times New Roman;sans-serif" w:hAnsi="Times New Roman;sans-serif"/>
          <w:b w:val="false"/>
          <w:color w:val="000000"/>
          <w:sz w:val="20"/>
        </w:rPr>
        <w:t>Dat</w:t>
      </w:r>
      <w:r>
        <w:rPr>
          <w:rFonts w:ascii="Times New Roman;sans-serif" w:hAnsi="Times New Roman;sans-serif"/>
          <w:b w:val="false"/>
          <w:color w:val="000000"/>
          <w:sz w:val="20"/>
          <w:shd w:fill="FFFFFF" w:val="clear"/>
        </w:rPr>
        <w:t>e: February 1,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Exhibit 99.1</w:t>
        <w:br/>
        <w:t>Regulatory release</w:t>
      </w:r>
    </w:p>
    <w:p>
      <w:pPr>
        <w:pStyle w:val="TextBody"/>
        <w:bidi w:val="0"/>
        <w:spacing w:before="0" w:after="120"/>
        <w:jc w:val="righ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Three and twelve month periods ended December 31, 2023</w:t>
        <w:br/>
        <w:t>Unaudited Condensed Financial Report</w:t>
      </w:r>
    </w:p>
    <w:p>
      <w:pPr>
        <w:pStyle w:val="TextBody"/>
        <w:bidi w:val="0"/>
        <w:spacing w:lineRule="auto" w:line="288" w:before="0" w:after="120"/>
        <w:jc w:val="both"/>
        <w:rPr/>
      </w:pPr>
      <w:r>
        <w:rPr>
          <w:rFonts w:ascii="Times New Roman;sans-serif" w:hAnsi="Times New Roman;sans-serif"/>
          <w:b w:val="false"/>
          <w:color w:val="000000"/>
          <w:sz w:val="20"/>
        </w:rPr>
        <w:t xml:space="preserve">On </w:t>
      </w:r>
      <w:r>
        <w:rPr>
          <w:rFonts w:ascii="Times New Roman;sans-serif" w:hAnsi="Times New Roman;sans-serif"/>
          <w:b w:val="false"/>
          <w:color w:val="000000"/>
          <w:sz w:val="20"/>
          <w:shd w:fill="FFFFFF" w:val="clear"/>
        </w:rPr>
        <w:t>February 1, 2024</w:t>
      </w:r>
      <w:r>
        <w:rPr>
          <w:rFonts w:ascii="Times New Roman;sans-serif" w:hAnsi="Times New Roman;sans-serif"/>
          <w:b w:val="false"/>
          <w:color w:val="000000"/>
          <w:sz w:val="20"/>
        </w:rPr>
        <w:t xml:space="preserve">, Shell plc released the Unaudited Condensed Financial Report for the three and twelve month periods ended December 31, 2023, of Shell plc and its subsidiaries (collectively, “Shell”). </w:t>
      </w:r>
    </w:p>
    <w:tbl>
      <w:tblPr>
        <w:tblW w:w="3465" w:type="dxa"/>
        <w:jc w:val="left"/>
        <w:tblInd w:w="0" w:type="dxa"/>
        <w:tblLayout w:type="fixed"/>
        <w:tblCellMar>
          <w:top w:w="28" w:type="dxa"/>
          <w:left w:w="28" w:type="dxa"/>
          <w:bottom w:w="28" w:type="dxa"/>
          <w:right w:w="28" w:type="dxa"/>
        </w:tblCellMar>
      </w:tblPr>
      <w:tblGrid>
        <w:gridCol w:w="537"/>
        <w:gridCol w:w="472"/>
        <w:gridCol w:w="476"/>
        <w:gridCol w:w="579"/>
        <w:gridCol w:w="579"/>
        <w:gridCol w:w="822"/>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Contact – Media</w:t>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+44 (0) 207 934 5550</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USA:</w:t>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+1 832 337 4355</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Exhibit 99.2</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Shell plc</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Three and twelve month periods ended December 31, 2023</w:t>
        <w:br/>
        <w:t>Unaudited Condensed Financial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1</w:t>
                      </w:r>
                    </w:p>
                  </w:txbxContent>
                </v:textbox>
                <w10:wrap type="none"/>
              </v:rect>
            </w:pict>
          </mc:Fallback>
        </mc:AlternateContent>
      </w:r>
    </w:p>
    <w:tbl>
      <w:tblPr>
        <w:tblW w:w="5787" w:type="dxa"/>
        <w:jc w:val="left"/>
        <w:tblInd w:w="0" w:type="dxa"/>
        <w:tblLayout w:type="fixed"/>
        <w:tblCellMar>
          <w:top w:w="28" w:type="dxa"/>
          <w:left w:w="28" w:type="dxa"/>
          <w:bottom w:w="28" w:type="dxa"/>
          <w:right w:w="28" w:type="dxa"/>
        </w:tblCellMar>
      </w:tblPr>
      <w:tblGrid>
        <w:gridCol w:w="1962"/>
        <w:gridCol w:w="1724"/>
        <w:gridCol w:w="1729"/>
        <w:gridCol w:w="109"/>
        <w:gridCol w:w="109"/>
        <w:gridCol w:w="154"/>
      </w:tblGrid>
      <w:tr>
        <w:trPr/>
        <w:tc>
          <w:tcPr>
            <w:tcW w:w="1962"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SHELL PLC</w:t>
            </w:r>
          </w:p>
          <w:p>
            <w:pPr>
              <w:pStyle w:val="TableContents"/>
              <w:bidi w:val="0"/>
              <w:spacing w:lineRule="auto" w:line="240" w:before="60" w:after="283"/>
              <w:jc w:val="left"/>
              <w:rPr/>
            </w:pPr>
            <w:r>
              <w:rPr>
                <w:rFonts w:ascii="Times New Roman;sans-serif" w:hAnsi="Times New Roman;sans-serif"/>
                <w:b w:val="false"/>
                <w:color w:val="000000"/>
                <w:sz w:val="20"/>
              </w:rPr>
              <w:t>4</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QUARTER 2023 AND FULL YEAR UNAUDITED RESULTS </w:t>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SUMMARY OF UNAUDITED RESULTS</w:t>
      </w:r>
    </w:p>
    <w:tbl>
      <w:tblPr>
        <w:tblW w:w="10205" w:type="dxa"/>
        <w:jc w:val="left"/>
        <w:tblInd w:w="0" w:type="dxa"/>
        <w:tblLayout w:type="fixed"/>
        <w:tblCellMar>
          <w:top w:w="28" w:type="dxa"/>
          <w:left w:w="28" w:type="dxa"/>
          <w:bottom w:w="28" w:type="dxa"/>
          <w:right w:w="28" w:type="dxa"/>
        </w:tblCellMar>
      </w:tblPr>
      <w:tblGrid>
        <w:gridCol w:w="390"/>
        <w:gridCol w:w="346"/>
        <w:gridCol w:w="200"/>
        <w:gridCol w:w="360"/>
        <w:gridCol w:w="361"/>
        <w:gridCol w:w="204"/>
        <w:gridCol w:w="360"/>
        <w:gridCol w:w="361"/>
        <w:gridCol w:w="204"/>
        <w:gridCol w:w="139"/>
        <w:gridCol w:w="139"/>
        <w:gridCol w:w="143"/>
        <w:gridCol w:w="1414"/>
        <w:gridCol w:w="1276"/>
        <w:gridCol w:w="1289"/>
        <w:gridCol w:w="225"/>
        <w:gridCol w:w="225"/>
        <w:gridCol w:w="226"/>
        <w:gridCol w:w="382"/>
        <w:gridCol w:w="385"/>
        <w:gridCol w:w="228"/>
        <w:gridCol w:w="360"/>
        <w:gridCol w:w="361"/>
        <w:gridCol w:w="156"/>
        <w:gridCol w:w="136"/>
        <w:gridCol w:w="136"/>
        <w:gridCol w:w="199"/>
      </w:tblGrid>
      <w:tr>
        <w:trPr/>
        <w:tc>
          <w:tcPr>
            <w:tcW w:w="39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20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3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Full year</w:t>
            </w:r>
          </w:p>
        </w:tc>
      </w:tr>
      <w:tr>
        <w:trPr/>
        <w:tc>
          <w:tcPr>
            <w:tcW w:w="93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92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92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42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%¹</w:t>
            </w:r>
          </w:p>
        </w:tc>
        <w:tc>
          <w:tcPr>
            <w:tcW w:w="39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Reference</w:t>
            </w:r>
          </w:p>
        </w:tc>
        <w:tc>
          <w:tcPr>
            <w:tcW w:w="99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7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7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r>
      <w:tr>
        <w:trPr/>
        <w:tc>
          <w:tcPr>
            <w:tcW w:w="936"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7,044 </w:t>
            </w:r>
          </w:p>
        </w:tc>
        <w:tc>
          <w:tcPr>
            <w:tcW w:w="20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10,409 </w:t>
            </w:r>
          </w:p>
        </w:tc>
        <w:tc>
          <w:tcPr>
            <w:tcW w:w="20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397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Income/(loss) attributable to Shell plc shareholders</w:t>
            </w:r>
          </w:p>
        </w:tc>
        <w:tc>
          <w:tcPr>
            <w:tcW w:w="676"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19,360</w:t>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42,309 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97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97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Earnings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68,538</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84,289</w:t>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12,575 </w:t>
            </w:r>
          </w:p>
        </w:tc>
        <w:tc>
          <w:tcPr>
            <w:tcW w:w="20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12,332 </w:t>
            </w:r>
          </w:p>
        </w:tc>
        <w:tc>
          <w:tcPr>
            <w:tcW w:w="20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22,404 </w:t>
            </w:r>
          </w:p>
        </w:tc>
        <w:tc>
          <w:tcPr>
            <w:tcW w:w="20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97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w:t>
            </w:r>
          </w:p>
        </w:tc>
        <w:tc>
          <w:tcPr>
            <w:tcW w:w="67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54,196</w:t>
            </w:r>
          </w:p>
        </w:tc>
        <w:tc>
          <w:tcPr>
            <w:tcW w:w="87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68,414</w:t>
            </w:r>
          </w:p>
        </w:tc>
        <w:tc>
          <w:tcPr>
            <w:tcW w:w="47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(4,827)</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(6,918)</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investing activities</w:t>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(17,737)</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(22,448)</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97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7,113 </w:t>
            </w:r>
          </w:p>
        </w:tc>
        <w:tc>
          <w:tcPr>
            <w:tcW w:w="20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5,649 </w:t>
            </w:r>
          </w:p>
        </w:tc>
        <w:tc>
          <w:tcPr>
            <w:tcW w:w="20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7,319 </w:t>
            </w:r>
          </w:p>
        </w:tc>
        <w:tc>
          <w:tcPr>
            <w:tcW w:w="20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capital expenditure</w:t>
            </w:r>
          </w:p>
        </w:tc>
        <w:tc>
          <w:tcPr>
            <w:tcW w:w="676"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767"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24,393 </w:t>
            </w:r>
          </w:p>
        </w:tc>
        <w:tc>
          <w:tcPr>
            <w:tcW w:w="228"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24,833 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97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Underlying operating expenses</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93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92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92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42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ROACE on a Net income basis</w:t>
            </w:r>
          </w:p>
        </w:tc>
        <w:tc>
          <w:tcPr>
            <w:tcW w:w="67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9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87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47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ROACE on an Adjusted Earnings plus Non-controlling interest (NCI) basis</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81,541 </w:t>
            </w:r>
          </w:p>
        </w:tc>
        <w:tc>
          <w:tcPr>
            <w:tcW w:w="20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82,147 </w:t>
            </w:r>
          </w:p>
        </w:tc>
        <w:tc>
          <w:tcPr>
            <w:tcW w:w="20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83,795 </w:t>
            </w:r>
          </w:p>
        </w:tc>
        <w:tc>
          <w:tcPr>
            <w:tcW w:w="20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97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67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76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81,541 </w:t>
            </w:r>
          </w:p>
        </w:tc>
        <w:tc>
          <w:tcPr>
            <w:tcW w:w="22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83,795 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97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debt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43,541</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44,837</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Gearing</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20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20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2,831 </w:t>
            </w:r>
          </w:p>
        </w:tc>
        <w:tc>
          <w:tcPr>
            <w:tcW w:w="20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97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available for sale (thousand boe/d)</w:t>
            </w:r>
          </w:p>
        </w:tc>
        <w:tc>
          <w:tcPr>
            <w:tcW w:w="676"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2,791 </w:t>
            </w:r>
          </w:p>
        </w:tc>
        <w:tc>
          <w:tcPr>
            <w:tcW w:w="228"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93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92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92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42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397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w:t>
            </w:r>
          </w:p>
        </w:tc>
        <w:tc>
          <w:tcPr>
            <w:tcW w:w="67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22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w:t>
            </w:r>
          </w:p>
        </w:tc>
        <w:tc>
          <w:tcPr>
            <w:tcW w:w="47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w:t>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Earnings per share ($)</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w:t>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936"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0.3440</w:t>
            </w:r>
          </w:p>
        </w:tc>
        <w:tc>
          <w:tcPr>
            <w:tcW w:w="925"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0.3310</w:t>
            </w:r>
          </w:p>
        </w:tc>
        <w:tc>
          <w:tcPr>
            <w:tcW w:w="925"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0.2875</w:t>
            </w:r>
          </w:p>
        </w:tc>
        <w:tc>
          <w:tcPr>
            <w:tcW w:w="421"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979"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per share ($)</w:t>
            </w:r>
          </w:p>
        </w:tc>
        <w:tc>
          <w:tcPr>
            <w:tcW w:w="676"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1.2935</w:t>
            </w:r>
          </w:p>
        </w:tc>
        <w:tc>
          <w:tcPr>
            <w:tcW w:w="877"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1.0375</w:t>
            </w:r>
          </w:p>
        </w:tc>
        <w:tc>
          <w:tcPr>
            <w:tcW w:w="471"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bl>
    <w:p>
      <w:pPr>
        <w:pStyle w:val="TextBody"/>
        <w:bidi w:val="0"/>
        <w:spacing w:lineRule="auto" w:line="288" w:before="0" w:after="0"/>
        <w:ind w:left="0" w:right="0" w:hanging="142"/>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Q4 on Q3 change</w:t>
      </w:r>
    </w:p>
    <w:p>
      <w:pPr>
        <w:pStyle w:val="TextBody"/>
        <w:bidi w:val="0"/>
        <w:spacing w:lineRule="auto" w:line="288" w:before="120" w:after="120"/>
        <w:jc w:val="left"/>
        <w:rPr/>
      </w:pPr>
      <w:r>
        <w:rPr>
          <w:rFonts w:ascii="Times New Roman;sans-serif" w:hAnsi="Times New Roman;sans-serif"/>
          <w:b/>
          <w:color w:val="000000"/>
          <w:sz w:val="20"/>
        </w:rPr>
        <w:t>Quarter Analysis</w:t>
      </w:r>
      <w:r>
        <w:rPr>
          <w:rFonts w:ascii="Times New Roman;sans-serif" w:hAnsi="Times New Roman;sans-serif"/>
          <w:b/>
          <w:color w:val="000000"/>
          <w:sz w:val="13"/>
        </w:rPr>
        <w:t>1</w:t>
      </w:r>
    </w:p>
    <w:p>
      <w:pPr>
        <w:pStyle w:val="TextBody"/>
        <w:bidi w:val="0"/>
        <w:spacing w:lineRule="auto" w:line="288" w:before="120" w:after="120"/>
        <w:jc w:val="left"/>
        <w:rPr/>
      </w:pPr>
      <w:r>
        <w:rPr>
          <w:rFonts w:ascii="Times New Roman;sans-serif" w:hAnsi="Times New Roman;sans-serif"/>
          <w:b/>
          <w:color w:val="000000"/>
          <w:sz w:val="20"/>
        </w:rPr>
        <w:t>Income attributable to Shell plc shareholders</w:t>
      </w:r>
      <w:r>
        <w:rPr>
          <w:rFonts w:ascii="Times New Roman;sans-serif" w:hAnsi="Times New Roman;sans-serif"/>
          <w:b w:val="false"/>
          <w:color w:val="000000"/>
          <w:sz w:val="20"/>
        </w:rPr>
        <w:t>, compared with the third quarter 2023, reflected higher LNG trading and optimisation margins, favourable deferred tax movements, and higher production, offset by lower refining margins, lower margins from crude and oil products trading and optimisation, and higher operating expenses.</w:t>
      </w:r>
    </w:p>
    <w:p>
      <w:pPr>
        <w:pStyle w:val="TextBody"/>
        <w:bidi w:val="0"/>
        <w:spacing w:lineRule="auto" w:line="26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 2023 income attributable to Shell plc shareholders also included net impairment charges and reversals ($3.9 billion), and unfavourable movements due to the fair value accounting of commodity derivatives. These charges and unfavourable movements are included in identified items amounting to a net loss of $6.0 billion in the quarter. This compares with identified items in the third quarter 2023 which amounted to a net loss of $0.1 billion, and mainly related to impairment charges, largely offset by favourable movements due to the fair value accounting of commodity derivatives.</w:t>
      </w:r>
    </w:p>
    <w:p>
      <w:pPr>
        <w:pStyle w:val="TextBody"/>
        <w:bidi w:val="0"/>
        <w:spacing w:lineRule="auto" w:line="288" w:before="120" w:after="120"/>
        <w:jc w:val="left"/>
        <w:rPr/>
      </w:pPr>
      <w:r>
        <w:rPr>
          <w:rFonts w:ascii="Times New Roman;sans-serif" w:hAnsi="Times New Roman;sans-serif"/>
          <w:b/>
          <w:color w:val="000000"/>
          <w:sz w:val="20"/>
        </w:rPr>
        <w:t xml:space="preserve">Adjusted Earnings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color w:val="000000"/>
          <w:sz w:val="20"/>
        </w:rPr>
        <w:t>Adjusted EBITDA</w:t>
      </w:r>
      <w:r>
        <w:rPr>
          <w:rFonts w:ascii="Times New Roman;sans-serif" w:hAnsi="Times New Roman;sans-serif"/>
          <w:b/>
          <w:color w:val="000000"/>
          <w:sz w:val="13"/>
        </w:rPr>
        <w:t>2</w:t>
      </w:r>
      <w:r>
        <w:rPr>
          <w:color w:val="000000"/>
        </w:rPr>
        <w:t xml:space="preserve"> </w:t>
      </w:r>
      <w:r>
        <w:rPr>
          <w:rFonts w:ascii="Times New Roman;sans-serif" w:hAnsi="Times New Roman;sans-serif"/>
          <w:b w:val="false"/>
          <w:color w:val="000000"/>
          <w:sz w:val="20"/>
        </w:rPr>
        <w:t>were driven by the same factors as income attributable to Shell plc shareholders and adjusted for the above identified items and the cost of supplies adjustment of positive $0.8 billion.</w:t>
      </w:r>
    </w:p>
    <w:p>
      <w:pPr>
        <w:pStyle w:val="TextBody"/>
        <w:bidi w:val="0"/>
        <w:spacing w:lineRule="auto" w:line="288" w:before="120" w:after="120"/>
        <w:jc w:val="left"/>
        <w:rPr/>
      </w:pPr>
      <w:r>
        <w:rPr>
          <w:rFonts w:ascii="Times New Roman;sans-serif" w:hAnsi="Times New Roman;sans-serif"/>
          <w:b/>
          <w:color w:val="000000"/>
          <w:sz w:val="20"/>
        </w:rPr>
        <w:t xml:space="preserve">Cash flow from operating activities </w:t>
      </w:r>
      <w:r>
        <w:rPr>
          <w:rFonts w:ascii="Times New Roman;sans-serif" w:hAnsi="Times New Roman;sans-serif"/>
          <w:b w:val="false"/>
          <w:color w:val="000000"/>
          <w:sz w:val="20"/>
        </w:rPr>
        <w:t>for the fourth quarter 2023 was $12.6 billion, and primarily driven by Adjusted EBITDA, and a working capital inflow of $3.3 billion, partly offset by tax payments of $3.6 billion, and a derivatives outflow of $1.0 billion and the timing impact of payments relating to emission certificates and biofuel programmes of $0.9 billion. The working capital inflow mainly reflected inventory movements due to lower prices.</w:t>
      </w:r>
    </w:p>
    <w:p>
      <w:pPr>
        <w:pStyle w:val="TextBody"/>
        <w:bidi w:val="0"/>
        <w:spacing w:lineRule="auto" w:line="288" w:before="120" w:after="120"/>
        <w:jc w:val="left"/>
        <w:rPr/>
      </w:pPr>
      <w:r>
        <w:rPr>
          <w:rFonts w:ascii="Times New Roman;sans-serif" w:hAnsi="Times New Roman;sans-serif"/>
          <w:b/>
          <w:color w:val="000000"/>
          <w:sz w:val="20"/>
        </w:rPr>
        <w:t>Cash flow from investing activities</w:t>
      </w:r>
      <w:r>
        <w:rPr>
          <w:color w:val="000000"/>
        </w:rPr>
        <w:t xml:space="preserve"> </w:t>
      </w:r>
      <w:r>
        <w:rPr>
          <w:rFonts w:ascii="Times New Roman;sans-serif" w:hAnsi="Times New Roman;sans-serif"/>
          <w:b w:val="false"/>
          <w:color w:val="000000"/>
          <w:sz w:val="20"/>
        </w:rPr>
        <w:t>for the quarter was an outflow of $5.7 billion, and included cash capital expenditure of $7.1 billion, and divestment proceeds of $0.6 billion.</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2</w:t>
                      </w:r>
                    </w:p>
                  </w:txbxContent>
                </v:textbox>
                <w10:wrap type="none"/>
              </v:rect>
            </w:pict>
          </mc:Fallback>
        </mc:AlternateContent>
      </w:r>
    </w:p>
    <w:p>
      <w:pPr>
        <w:pStyle w:val="TextBody"/>
        <w:bidi w:val="0"/>
        <w:spacing w:lineRule="auto" w:line="288" w:before="120" w:after="120"/>
        <w:jc w:val="left"/>
        <w:rPr/>
      </w:pPr>
      <w:r>
        <w:rPr>
          <w:rFonts w:ascii="Times New Roman;sans-serif" w:hAnsi="Times New Roman;sans-serif"/>
          <w:b/>
          <w:color w:val="000000"/>
          <w:sz w:val="20"/>
        </w:rPr>
        <w:t>Net debt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color w:val="000000"/>
          <w:sz w:val="20"/>
        </w:rPr>
        <w:t>Gearing</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At the end of the fourth quarter 2023, net debt was $43.5 billion, compared with $40.5 billion at the end of the third quarter 2023, mainly reflecting share buybacks, cash dividends paid to Shell plc shareholders, lease additions, and interest payments, partly offset by free cash flow. Gearing was 18.8% at the end of the fourth quarter 2023, compared with 17.3% at the end of the third quarter 2023, driven by higher net debt and lower equity.</w:t>
      </w:r>
    </w:p>
    <w:p>
      <w:pPr>
        <w:pStyle w:val="TextBody"/>
        <w:bidi w:val="0"/>
        <w:spacing w:lineRule="auto" w:line="276" w:before="120" w:after="120"/>
        <w:jc w:val="left"/>
        <w:rPr>
          <w:rFonts w:ascii="Times New Roman;sans-serif" w:hAnsi="Times New Roman;sans-serif"/>
          <w:b/>
          <w:color w:val="000000"/>
          <w:sz w:val="20"/>
        </w:rPr>
      </w:pPr>
      <w:r>
        <w:rPr>
          <w:rFonts w:ascii="Times New Roman;sans-serif" w:hAnsi="Times New Roman;sans-serif"/>
          <w:b/>
          <w:color w:val="000000"/>
          <w:sz w:val="20"/>
        </w:rPr>
        <w:t>Shareholder distributions</w:t>
      </w:r>
    </w:p>
    <w:p>
      <w:pPr>
        <w:pStyle w:val="TextBody"/>
        <w:bidi w:val="0"/>
        <w:spacing w:lineRule="auto" w:line="276"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 distributions in the quarter amounted to $6.2 billion comprising repurchases of shares of $4.0 billion and cash dividends paid to Shell plc shareholders of $2.2 billion. Dividends declared to Shell plc shareholders for the fourth quarter 2023 amount to $0.3440 per share. Shell has now completed $3.5 billion of share buybacks announced in the third quarter 2023 results announcement. Today, Shell announces a share buyback programme of $3.5 billion which is expected to be completed by the first quarter 2024 results announcement.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0"/>
        </w:rPr>
        <w:t>Full Year Analysis</w:t>
      </w:r>
      <w:r>
        <w:rPr>
          <w:rFonts w:ascii="Times New Roman;sans-serif" w:hAnsi="Times New Roman;sans-serif"/>
          <w:b/>
          <w:color w:val="000000"/>
          <w:sz w:val="13"/>
        </w:rPr>
        <w:t>1</w:t>
      </w:r>
    </w:p>
    <w:p>
      <w:pPr>
        <w:pStyle w:val="TextBody"/>
        <w:bidi w:val="0"/>
        <w:spacing w:lineRule="auto" w:line="288" w:before="120" w:after="120"/>
        <w:jc w:val="left"/>
        <w:rPr/>
      </w:pPr>
      <w:r>
        <w:rPr>
          <w:rFonts w:ascii="Times New Roman;sans-serif" w:hAnsi="Times New Roman;sans-serif"/>
          <w:b/>
          <w:color w:val="000000"/>
          <w:sz w:val="20"/>
        </w:rPr>
        <w:t>Full year 2023 income attributable to Shell plc shareholders</w:t>
      </w:r>
      <w:r>
        <w:rPr>
          <w:rFonts w:ascii="Times New Roman;sans-serif" w:hAnsi="Times New Roman;sans-serif"/>
          <w:b w:val="false"/>
          <w:color w:val="000000"/>
          <w:sz w:val="20"/>
        </w:rPr>
        <w:t>, compared with the full year 2022, reflected lower realised oil and gas prices, lower volumes, and lower refining margins, partly offset by higher LNG trading and optimisation margins, and higher Marketing margins. By focusing the portfolio and simplifying the organisation, $1.0 billion of pre-tax structural cost reductions</w:t>
      </w: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were delivered compared with the full year 2022, mainly driven by divestments.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Full year 2023 income attributable to Shell plc shareholders also included net impairment charges and reversals of $6.2 billion, and unfavourable movements of $1.3 billion due to the fair value accounting of commodity derivatives. These charges and unfavourable movements are included in identified items amounting to a net loss of $8.2 billion. This compares with identified items in the full year 2022 which amounted to a net gain of $1.2 billion.</w:t>
      </w:r>
    </w:p>
    <w:p>
      <w:pPr>
        <w:pStyle w:val="TextBody"/>
        <w:bidi w:val="0"/>
        <w:spacing w:lineRule="auto" w:line="288" w:before="120" w:after="120"/>
        <w:jc w:val="left"/>
        <w:rPr/>
      </w:pPr>
      <w:r>
        <w:rPr>
          <w:rFonts w:ascii="Times New Roman;sans-serif" w:hAnsi="Times New Roman;sans-serif"/>
          <w:b/>
          <w:color w:val="000000"/>
          <w:sz w:val="20"/>
        </w:rPr>
        <w:t xml:space="preserve">Adjusted Earnings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color w:val="000000"/>
          <w:sz w:val="20"/>
        </w:rPr>
        <w:t>Adjusted EBITDA</w:t>
      </w:r>
      <w:r>
        <w:rPr>
          <w:rFonts w:ascii="Times New Roman;sans-serif" w:hAnsi="Times New Roman;sans-serif"/>
          <w:b/>
          <w:color w:val="000000"/>
          <w:sz w:val="13"/>
        </w:rPr>
        <w:t>2</w:t>
      </w:r>
      <w:r>
        <w:rPr>
          <w:color w:val="000000"/>
        </w:rPr>
        <w:t xml:space="preserve"> </w:t>
      </w:r>
      <w:r>
        <w:rPr>
          <w:rFonts w:ascii="Times New Roman;sans-serif" w:hAnsi="Times New Roman;sans-serif"/>
          <w:b w:val="false"/>
          <w:color w:val="000000"/>
          <w:sz w:val="20"/>
        </w:rPr>
        <w:t>for the full year 2023 were driven by the same factors as income attributable to Shell plc shareholders and adjusted for identified items and the cost of supplies adjustment of positive $0.6 billion.</w:t>
      </w:r>
    </w:p>
    <w:p>
      <w:pPr>
        <w:pStyle w:val="TextBody"/>
        <w:bidi w:val="0"/>
        <w:spacing w:lineRule="auto" w:line="288" w:before="120" w:after="120"/>
        <w:jc w:val="left"/>
        <w:rPr/>
      </w:pPr>
      <w:r>
        <w:rPr>
          <w:rFonts w:ascii="Times New Roman;sans-serif" w:hAnsi="Times New Roman;sans-serif"/>
          <w:b/>
          <w:color w:val="000000"/>
          <w:sz w:val="20"/>
        </w:rPr>
        <w:t xml:space="preserve">Cash flow from operating activities </w:t>
      </w:r>
      <w:r>
        <w:rPr>
          <w:rFonts w:ascii="Times New Roman;sans-serif" w:hAnsi="Times New Roman;sans-serif"/>
          <w:b w:val="false"/>
          <w:color w:val="000000"/>
          <w:sz w:val="20"/>
        </w:rPr>
        <w:t>for the full year 2023 was $54.2 billion, and primarily driven by Adjusted EBITDA, and a working capital inflow of $7.8 billion, partly offset by tax payments of $13.7 billion, and a derivatives outflow of $6.1 billion.</w:t>
      </w:r>
    </w:p>
    <w:p>
      <w:pPr>
        <w:pStyle w:val="TextBody"/>
        <w:bidi w:val="0"/>
        <w:spacing w:lineRule="auto" w:line="288" w:before="0" w:after="0"/>
        <w:jc w:val="left"/>
        <w:rPr/>
      </w:pPr>
      <w:r>
        <w:rPr>
          <w:rFonts w:ascii="Times New Roman;sans-serif" w:hAnsi="Times New Roman;sans-serif"/>
          <w:b/>
          <w:color w:val="000000"/>
          <w:sz w:val="20"/>
        </w:rPr>
        <w:t xml:space="preserve">Cash flow from investing activities </w:t>
      </w:r>
      <w:r>
        <w:rPr>
          <w:rFonts w:ascii="Times New Roman;sans-serif" w:hAnsi="Times New Roman;sans-serif"/>
          <w:b w:val="false"/>
          <w:color w:val="000000"/>
          <w:sz w:val="20"/>
        </w:rPr>
        <w:t>for the full year 2023 was an outflow of $17.7 billion and included cash capital expenditure of $24.4 billion, divestment proceeds of $3.1 billion, interest received of $2.1 billion, and net other investing cash inflows of $1.4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val="false"/>
          <w:color w:val="000000"/>
          <w:sz w:val="20"/>
        </w:rPr>
        <w:t>This Unaudited Condensed Financial Report, together with supplementary financial and operational disclosure for this quarter, is available at www.shell.com/investors</w:t>
      </w:r>
      <w:r>
        <w:rPr>
          <w:rFonts w:ascii="Times New Roman;sans-serif" w:hAnsi="Times New Roman;sans-serif"/>
          <w:b w:val="false"/>
          <w:color w:val="000000"/>
          <w:sz w:val="13"/>
        </w:rPr>
        <w:t>3</w:t>
      </w:r>
      <w:r>
        <w:rPr>
          <w:rFonts w:ascii="Times New Roman;sans-serif" w:hAnsi="Times New Roman;sans-serif"/>
          <w:b w:val="false"/>
          <w:color w:val="000000"/>
          <w:sz w:val="20"/>
        </w:rPr>
        <w:t>. Progress to date on the financial targets that were announced during Capital Markets Day in June 2023 is available at www.shell.com/investors/results-and-reporting/progress-on-cmd23.html</w:t>
      </w:r>
      <w:r>
        <w:rPr>
          <w:rFonts w:ascii="Times New Roman;sans-serif" w:hAnsi="Times New Roman;sans-serif"/>
          <w:b w:val="false"/>
          <w:color w:val="000000"/>
          <w:sz w:val="13"/>
        </w:rPr>
        <w:t>3</w:t>
      </w:r>
      <w:r>
        <w:rPr>
          <w:rFonts w:ascii="Times New Roman;sans-serif" w:hAnsi="Times New Roman;sans-serif"/>
          <w:b w:val="false"/>
          <w:color w:val="000000"/>
          <w:sz w:val="20"/>
        </w:rPr>
        <w:t>.</w:t>
      </w:r>
    </w:p>
    <w:p>
      <w:pPr>
        <w:pStyle w:val="TextBody"/>
        <w:bidi w:val="0"/>
        <w:spacing w:lineRule="auto" w:line="288" w:before="0" w:after="0"/>
        <w:ind w:left="0" w:right="0" w:hanging="27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All earnings amounts are shown post-tax, unless stated otherwise.</w:t>
      </w:r>
    </w:p>
    <w:p>
      <w:pPr>
        <w:pStyle w:val="TextBody"/>
        <w:bidi w:val="0"/>
        <w:spacing w:lineRule="auto" w:line="288" w:before="0" w:after="0"/>
        <w:ind w:left="0" w:right="0" w:hanging="27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Adjusted EBITDA is without taxation. </w:t>
      </w:r>
    </w:p>
    <w:p>
      <w:pPr>
        <w:pStyle w:val="TextBody"/>
        <w:bidi w:val="0"/>
        <w:spacing w:lineRule="auto" w:line="288" w:before="0" w:after="0"/>
        <w:ind w:left="0" w:right="0" w:hanging="27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Not incorporated by reference. </w:t>
      </w:r>
    </w:p>
    <w:p>
      <w:pPr>
        <w:pStyle w:val="TextBody"/>
        <w:bidi w:val="0"/>
        <w:spacing w:lineRule="auto" w:line="288" w:before="0" w:after="0"/>
        <w:ind w:left="0" w:right="0" w:hanging="27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Structural cost reductions describe decreases in underlying operating expenses as a result of operational efficiencies, divestments, workforce reductions and other cost-saving measures that are expected to be sustainable compared with 2022 levels.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ans-serif" w:hAnsi="Times New Roman;sans-serif"/>
          <w:b/>
          <w:color w:val="FF0000"/>
          <w:sz w:val="20"/>
        </w:rPr>
      </w:pPr>
      <w:r>
        <w:rPr>
          <w:rFonts w:ascii="Times New Roman;sans-serif" w:hAnsi="Times New Roman;sans-serif"/>
          <w:b/>
          <w:color w:val="FF0000"/>
          <w:sz w:val="20"/>
        </w:rPr>
        <w:t xml:space="preserve">FOURTH QUARTER 2023 PORTFOLIO DEVELOPMENTS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Integrated Gas</w:t>
      </w:r>
    </w:p>
    <w:p>
      <w:pPr>
        <w:pStyle w:val="TextBody"/>
        <w:bidi w:val="0"/>
        <w:spacing w:lineRule="auto" w:line="26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2023, we completed the previously announced sale of our participating interest of 35% in Indonesia’s Masela production-sharing contract to Indonesia’s PT Pertamina Hulu Energi and PETRONAS Masela Sdn. Bhd. The participating interest includes the Abadi gas project. </w:t>
      </w:r>
    </w:p>
    <w:p>
      <w:pPr>
        <w:pStyle w:val="TextBody"/>
        <w:bidi w:val="0"/>
        <w:spacing w:lineRule="auto" w:line="26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2023, we and our partners in the Oman LNG LLC venture signed an amended shareholders’ agreement for Oman LNG LLC (Oman LNG) extending the business beyond 2024. We will remain the largest private shareholder in Oman LNG, with a 30% shareholding.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Upstream</w:t>
      </w:r>
    </w:p>
    <w:p>
      <w:pPr>
        <w:pStyle w:val="TextBody"/>
        <w:bidi w:val="0"/>
        <w:spacing w:lineRule="auto" w:line="26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we announced the start of production of the FPSO Sepetiba in the Mero field, offshore Santos Basin in Brazil. We hold a 19.3% stake in the Mero Unitized Field.</w:t>
      </w:r>
    </w:p>
    <w:p>
      <w:pPr>
        <w:pStyle w:val="TextBody"/>
        <w:bidi w:val="0"/>
        <w:spacing w:lineRule="auto" w:line="26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we announced the final investment decision for Sparta, a deep-water development in the US Gulf of Mexico. We hold a 51% interest.</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3</w:t>
                      </w:r>
                    </w:p>
                  </w:txbxContent>
                </v:textbox>
                <w10:wrap type="none"/>
              </v:rect>
            </w:pict>
          </mc:Fallback>
        </mc:AlternateContent>
      </w:r>
    </w:p>
    <w:p>
      <w:pPr>
        <w:pStyle w:val="TextBody"/>
        <w:bidi w:val="0"/>
        <w:spacing w:lineRule="auto" w:line="26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2024, we reached an agreement to sell The Shell Petroleum Development Company of Nigeria Limited (SPDC) to Renaissance. Completion of the transaction is subject to approvals by the Federal Government of Nigeria and other conditions.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Chemicals and Products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we announced the final investment decision to convert the hydrocracker of the Wesseling site at the Energy and Chemicals Park Rheinland in Germany into a production unit for Group III base oils, used in making high-quality lubricants such as engine and transmission oils. Crude oil processing will end at the Wesseling site by 2025 but will continue at the Godorf 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4</w:t>
                      </w:r>
                    </w:p>
                  </w:txbxContent>
                </v:textbox>
                <w10:wrap type="none"/>
              </v:rect>
            </w:pict>
          </mc:Fallback>
        </mc:AlternateContent>
      </w:r>
    </w:p>
    <w:p>
      <w:pPr>
        <w:pStyle w:val="TextBody"/>
        <w:bidi w:val="0"/>
        <w:spacing w:lineRule="auto" w:line="288" w:before="0" w:after="120"/>
        <w:jc w:val="left"/>
        <w:rPr>
          <w:rFonts w:ascii="Times New Roman;sans-serif" w:hAnsi="Times New Roman;sans-serif"/>
          <w:b/>
          <w:color w:val="FF0000"/>
          <w:sz w:val="20"/>
        </w:rPr>
      </w:pPr>
      <w:r>
        <w:rPr>
          <w:rFonts w:ascii="Times New Roman;sans-serif" w:hAnsi="Times New Roman;sans-serif"/>
          <w:b/>
          <w:color w:val="FF0000"/>
          <w:sz w:val="20"/>
        </w:rPr>
        <w:t>PERFORMANCE BY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INTEGRATED GAS</w:t>
      </w:r>
    </w:p>
    <w:tbl>
      <w:tblPr>
        <w:tblW w:w="10205" w:type="dxa"/>
        <w:jc w:val="left"/>
        <w:tblInd w:w="0" w:type="dxa"/>
        <w:tblLayout w:type="fixed"/>
        <w:tblCellMar>
          <w:top w:w="28" w:type="dxa"/>
          <w:left w:w="28" w:type="dxa"/>
          <w:bottom w:w="28" w:type="dxa"/>
          <w:right w:w="28" w:type="dxa"/>
        </w:tblCellMar>
      </w:tblPr>
      <w:tblGrid>
        <w:gridCol w:w="368"/>
        <w:gridCol w:w="327"/>
        <w:gridCol w:w="227"/>
        <w:gridCol w:w="308"/>
        <w:gridCol w:w="308"/>
        <w:gridCol w:w="232"/>
        <w:gridCol w:w="308"/>
        <w:gridCol w:w="308"/>
        <w:gridCol w:w="232"/>
        <w:gridCol w:w="139"/>
        <w:gridCol w:w="139"/>
        <w:gridCol w:w="143"/>
        <w:gridCol w:w="1376"/>
        <w:gridCol w:w="1343"/>
        <w:gridCol w:w="1364"/>
        <w:gridCol w:w="275"/>
        <w:gridCol w:w="275"/>
        <w:gridCol w:w="276"/>
        <w:gridCol w:w="360"/>
        <w:gridCol w:w="361"/>
        <w:gridCol w:w="232"/>
        <w:gridCol w:w="360"/>
        <w:gridCol w:w="361"/>
        <w:gridCol w:w="156"/>
        <w:gridCol w:w="123"/>
        <w:gridCol w:w="123"/>
        <w:gridCol w:w="181"/>
      </w:tblGrid>
      <w:tr>
        <w:trPr/>
        <w:tc>
          <w:tcPr>
            <w:tcW w:w="36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ind w:left="0" w:right="0" w:hanging="284"/>
              <w:jc w:val="left"/>
              <w:rPr>
                <w:sz w:val="4"/>
                <w:szCs w:val="4"/>
              </w:rPr>
            </w:pPr>
            <w:r>
              <w:rPr>
                <w:sz w:val="4"/>
                <w:szCs w:val="4"/>
              </w:rPr>
            </w:r>
          </w:p>
        </w:tc>
      </w:tr>
      <w:tr>
        <w:trPr/>
        <w:tc>
          <w:tcPr>
            <w:tcW w:w="303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4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Full year</w:t>
            </w:r>
          </w:p>
        </w:tc>
      </w:tr>
      <w:tr>
        <w:trPr/>
        <w:tc>
          <w:tcPr>
            <w:tcW w:w="92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84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84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42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%¹</w:t>
            </w:r>
          </w:p>
        </w:tc>
        <w:tc>
          <w:tcPr>
            <w:tcW w:w="408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Reference</w:t>
            </w:r>
          </w:p>
        </w:tc>
        <w:tc>
          <w:tcPr>
            <w:tcW w:w="95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7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2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695"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1,728 </w:t>
            </w:r>
          </w:p>
        </w:tc>
        <w:tc>
          <w:tcPr>
            <w:tcW w:w="22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232"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5,293 </w:t>
            </w:r>
          </w:p>
        </w:tc>
        <w:tc>
          <w:tcPr>
            <w:tcW w:w="232"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4083"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Segment earnings</w:t>
            </w:r>
            <w:r>
              <w:rPr>
                <w:rFonts w:ascii="Times New Roman;sans-serif" w:hAnsi="Times New Roman;sans-serif"/>
                <w:b w:val="false"/>
                <w:color w:val="000000"/>
                <w:sz w:val="13"/>
              </w:rPr>
              <w:t>2</w:t>
            </w:r>
          </w:p>
        </w:tc>
        <w:tc>
          <w:tcPr>
            <w:tcW w:w="826"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w:t>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22,212 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 Identified items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(6,861)</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w:t>
            </w:r>
          </w:p>
        </w:tc>
        <w:tc>
          <w:tcPr>
            <w:tcW w:w="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Earnings²</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3"/>
              </w:rPr>
              <w:t>2</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695"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3,597 </w:t>
            </w:r>
          </w:p>
        </w:tc>
        <w:tc>
          <w:tcPr>
            <w:tcW w:w="22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4,009 </w:t>
            </w:r>
          </w:p>
        </w:tc>
        <w:tc>
          <w:tcPr>
            <w:tcW w:w="232"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6,409 </w:t>
            </w:r>
          </w:p>
        </w:tc>
        <w:tc>
          <w:tcPr>
            <w:tcW w:w="232"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083"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w:t>
            </w:r>
          </w:p>
        </w:tc>
        <w:tc>
          <w:tcPr>
            <w:tcW w:w="826"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17,520 </w:t>
            </w:r>
          </w:p>
        </w:tc>
        <w:tc>
          <w:tcPr>
            <w:tcW w:w="232"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27,692 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capital expenditure</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2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32"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32"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083"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Liquids production available for sale (thousand b/d)</w:t>
            </w:r>
          </w:p>
        </w:tc>
        <w:tc>
          <w:tcPr>
            <w:tcW w:w="826"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32"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production available for sale (million scf/d)</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available for sale (thousand boe/d)</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695"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22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23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23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 liquefaction volumes (million tonnes)</w:t>
            </w:r>
          </w:p>
        </w:tc>
        <w:tc>
          <w:tcPr>
            <w:tcW w:w="82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23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695"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18.09 </w:t>
            </w:r>
          </w:p>
        </w:tc>
        <w:tc>
          <w:tcPr>
            <w:tcW w:w="227"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232"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232"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083"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 sales volumes (million tonnes)</w:t>
            </w:r>
          </w:p>
        </w:tc>
        <w:tc>
          <w:tcPr>
            <w:tcW w:w="826"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67.09 </w:t>
            </w:r>
          </w:p>
        </w:tc>
        <w:tc>
          <w:tcPr>
            <w:tcW w:w="232"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65.98 </w:t>
            </w:r>
          </w:p>
        </w:tc>
        <w:tc>
          <w:tcPr>
            <w:tcW w:w="156"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pStyle w:val="TextBody"/>
        <w:bidi w:val="0"/>
        <w:spacing w:lineRule="auto" w:line="288" w:before="0" w:after="0"/>
        <w:ind w:left="0" w:right="0" w:hanging="142"/>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Q4 on Q3 change</w:t>
      </w:r>
    </w:p>
    <w:p>
      <w:pPr>
        <w:pStyle w:val="TextBody"/>
        <w:bidi w:val="0"/>
        <w:spacing w:lineRule="auto" w:line="288" w:before="0" w:after="0"/>
        <w:ind w:left="0" w:right="0" w:hanging="142"/>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Segment earnings, Adjusted Earnings and Adjusted EBITDA are presented on a CCS basis (see Note 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 includes liquefied natural gas (LNG), conversion of natural gas into gas-to-liquids (GTL) fuels and other products. It includes natural gas and liquids exploration and extraction, and the operation of the upstream and midstream infrastructure necessary to deliver these to market. Integrated Gas also includes the marketing, trading and optimisation of LNG, including LNG as a fuel for heavy-duty vehicles.</w:t>
      </w:r>
    </w:p>
    <w:p>
      <w:pPr>
        <w:pStyle w:val="TextBody"/>
        <w:bidi w:val="0"/>
        <w:spacing w:lineRule="auto" w:line="268" w:before="120" w:after="283"/>
        <w:jc w:val="left"/>
        <w:rPr/>
      </w:pPr>
      <w:r>
        <w:rPr>
          <w:rFonts w:ascii="Times New Roman;sans-serif" w:hAnsi="Times New Roman;sans-serif"/>
          <w:b/>
          <w:color w:val="000000"/>
          <w:sz w:val="20"/>
        </w:rPr>
        <w:t>Quarter Analysis</w:t>
      </w:r>
      <w:r>
        <w:rPr>
          <w:rFonts w:ascii="Times New Roman;sans-serif" w:hAnsi="Times New Roman;sans-serif"/>
          <w:b/>
          <w:color w:val="000000"/>
          <w:sz w:val="13"/>
        </w:rPr>
        <w:t>1</w:t>
      </w:r>
    </w:p>
    <w:p>
      <w:pPr>
        <w:pStyle w:val="TextBody"/>
        <w:bidi w:val="0"/>
        <w:spacing w:lineRule="auto" w:line="288" w:before="120" w:after="120"/>
        <w:jc w:val="left"/>
        <w:rPr/>
      </w:pPr>
      <w:r>
        <w:rPr>
          <w:rFonts w:ascii="Times New Roman;sans-serif" w:hAnsi="Times New Roman;sans-serif"/>
          <w:b/>
          <w:color w:val="000000"/>
          <w:sz w:val="20"/>
        </w:rPr>
        <w:t>Segment earnings</w:t>
      </w:r>
      <w:r>
        <w:rPr>
          <w:rFonts w:ascii="Times New Roman;sans-serif" w:hAnsi="Times New Roman;sans-serif"/>
          <w:b w:val="false"/>
          <w:color w:val="000000"/>
          <w:sz w:val="20"/>
        </w:rPr>
        <w:t>, compared with the third quarter 2023, reflected the net effect of higher contributions from trading and optimisation, and realised prices (increase of $1,559 million), and higher volumes (increase of $81 million), partly offset by higher operating expenses (increase of $146 million), and unfavourable deferred tax movements ($140 million). Trading and optimisation results reflect seasonality and a high number of optimisation opportunities.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 2023 segment earnings also included unfavourable movements of $1,587 million due to the fair value accounting of commodity derivatives, and impairment charges of $547 million. As part of Shell's normal business, commodity derivative hedge contracts are entered into for mitigation of economic exposures on future purchases and sales. As these commodity derivatives are measured at fair value, this creates an accounting mismatch over periods. These unfavourable movements and impairment charges are part of identified items and compare with the third quarter 2023 which included unfavourable movements of $340 million due to the fair value accounting of commodity derivatives.</w:t>
      </w:r>
    </w:p>
    <w:p>
      <w:pPr>
        <w:pStyle w:val="TextBody"/>
        <w:bidi w:val="0"/>
        <w:spacing w:lineRule="auto" w:line="288" w:before="120" w:after="120"/>
        <w:jc w:val="left"/>
        <w:rPr/>
      </w:pPr>
      <w:r>
        <w:rPr>
          <w:rFonts w:ascii="Times New Roman;sans-serif" w:hAnsi="Times New Roman;sans-serif"/>
          <w:b/>
          <w:color w:val="000000"/>
          <w:sz w:val="20"/>
        </w:rPr>
        <w:t xml:space="preserve">Adjusted Earnings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color w:val="000000"/>
          <w:sz w:val="20"/>
        </w:rPr>
        <w:t>Adjusted EBITDA</w:t>
      </w:r>
      <w:r>
        <w:rPr>
          <w:rFonts w:ascii="Times New Roman;sans-serif" w:hAnsi="Times New Roman;sans-serif"/>
          <w:b/>
          <w:color w:val="000000"/>
          <w:sz w:val="13"/>
        </w:rPr>
        <w:t>2</w:t>
      </w:r>
      <w:r>
        <w:rPr>
          <w:color w:val="000000"/>
        </w:rPr>
        <w:t xml:space="preserve"> </w:t>
      </w:r>
      <w:r>
        <w:rPr>
          <w:rFonts w:ascii="Times New Roman;sans-serif" w:hAnsi="Times New Roman;sans-serif"/>
          <w:b w:val="false"/>
          <w:color w:val="000000"/>
          <w:sz w:val="20"/>
        </w:rPr>
        <w:t>were driven by the same factors as the segment earnings and adjusted for identified items.</w:t>
      </w:r>
    </w:p>
    <w:p>
      <w:pPr>
        <w:pStyle w:val="TextBody"/>
        <w:bidi w:val="0"/>
        <w:spacing w:lineRule="auto" w:line="288" w:before="120" w:after="120"/>
        <w:jc w:val="left"/>
        <w:rPr/>
      </w:pPr>
      <w:r>
        <w:rPr>
          <w:rFonts w:ascii="Times New Roman;sans-serif" w:hAnsi="Times New Roman;sans-serif"/>
          <w:b/>
          <w:color w:val="000000"/>
          <w:sz w:val="20"/>
        </w:rPr>
        <w:t xml:space="preserve">Cash flow from operating activities </w:t>
      </w:r>
      <w:r>
        <w:rPr>
          <w:rFonts w:ascii="Times New Roman;sans-serif" w:hAnsi="Times New Roman;sans-serif"/>
          <w:b w:val="false"/>
          <w:color w:val="000000"/>
          <w:sz w:val="20"/>
        </w:rPr>
        <w:t>for the quarter was primarily driven by Adjusted EBITDA, partly offset by net cash outflows related to derivatives of $1,596 million, tax payments of $731 million and working capital outflows of $654 million.</w:t>
      </w:r>
    </w:p>
    <w:p>
      <w:pPr>
        <w:pStyle w:val="TextBody"/>
        <w:bidi w:val="0"/>
        <w:spacing w:lineRule="auto" w:line="288" w:before="120" w:after="120"/>
        <w:jc w:val="left"/>
        <w:rPr/>
      </w:pPr>
      <w:r>
        <w:rPr>
          <w:rFonts w:ascii="Times New Roman;sans-serif" w:hAnsi="Times New Roman;sans-serif"/>
          <w:b/>
          <w:color w:val="000000"/>
          <w:sz w:val="20"/>
        </w:rPr>
        <w:t>Total oil and gas production</w:t>
      </w:r>
      <w:r>
        <w:rPr>
          <w:color w:val="000000"/>
        </w:rPr>
        <w:t xml:space="preserve"> </w:t>
      </w:r>
      <w:r>
        <w:rPr>
          <w:rFonts w:ascii="Times New Roman;sans-serif" w:hAnsi="Times New Roman;sans-serif"/>
          <w:b w:val="false"/>
          <w:color w:val="000000"/>
          <w:sz w:val="20"/>
        </w:rPr>
        <w:t xml:space="preserve">was in line with the third quarter 2023. LNG liquefaction volumes increased by 3% mainly due to lower maintenance.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ans-serif" w:hAnsi="Times New Roman;sans-serif"/>
          <w:b/>
          <w:color w:val="000000"/>
          <w:sz w:val="20"/>
        </w:rPr>
        <w:t>Full Year Analysis</w:t>
      </w:r>
      <w:r>
        <w:rPr>
          <w:rFonts w:ascii="Times New Roman;sans-serif" w:hAnsi="Times New Roman;sans-serif"/>
          <w:b/>
          <w:color w:val="000000"/>
          <w:sz w:val="13"/>
        </w:rPr>
        <w:t>1</w:t>
      </w:r>
    </w:p>
    <w:p>
      <w:pPr>
        <w:pStyle w:val="TextBody"/>
        <w:bidi w:val="0"/>
        <w:spacing w:lineRule="auto" w:line="288" w:before="120" w:after="120"/>
        <w:jc w:val="left"/>
        <w:rPr/>
      </w:pPr>
      <w:r>
        <w:rPr>
          <w:rFonts w:ascii="Times New Roman;sans-serif" w:hAnsi="Times New Roman;sans-serif"/>
          <w:b/>
          <w:color w:val="000000"/>
          <w:sz w:val="20"/>
        </w:rPr>
        <w:t>Segment earnings</w:t>
      </w:r>
      <w:r>
        <w:rPr>
          <w:rFonts w:ascii="Times New Roman;sans-serif" w:hAnsi="Times New Roman;sans-serif"/>
          <w:b w:val="false"/>
          <w:color w:val="000000"/>
          <w:sz w:val="20"/>
        </w:rPr>
        <w:t>, compared with the full year 2022, reflected the net effect of lower realised prices and higher contributions from trading and optimisation (decrease of $1,143 million), lower volumes (decrease of $466 million), and unfavourable deferred tax movements ($728 million).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Full year 2023 segment earnings also included unfavourable movements of $4,407 million due to the fair value accounting of commodity derivatives, and net impairment charges and reversals of $2,247 million. These unfavourable movements and net impairment charges and reversals are part of identified items and compare with the full year 2022 which included favourable movements of $6,273 million due to the fair value accounting of commodity derivatives, and net impairment reversals of $779 million, partly offset by other impacts of $608 million, which mainly comprised loan write-downs, as well as charges of $387 million due to provisions for onerous contracts.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5</w:t>
                      </w:r>
                    </w:p>
                  </w:txbxContent>
                </v:textbox>
                <w10:wrap type="none"/>
              </v:rect>
            </w:pict>
          </mc:Fallback>
        </mc:AlternateContent>
      </w:r>
    </w:p>
    <w:p>
      <w:pPr>
        <w:pStyle w:val="TextBody"/>
        <w:bidi w:val="0"/>
        <w:spacing w:lineRule="auto" w:line="288" w:before="120" w:after="120"/>
        <w:jc w:val="left"/>
        <w:rPr/>
      </w:pPr>
      <w:r>
        <w:rPr>
          <w:rFonts w:ascii="Times New Roman;sans-serif" w:hAnsi="Times New Roman;sans-serif"/>
          <w:b/>
          <w:color w:val="000000"/>
          <w:sz w:val="20"/>
        </w:rPr>
        <w:t xml:space="preserve">Adjusted Earnings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color w:val="000000"/>
          <w:sz w:val="20"/>
        </w:rPr>
        <w:t>Adjusted EBITDA</w:t>
      </w:r>
      <w:r>
        <w:rPr>
          <w:rFonts w:ascii="Times New Roman;sans-serif" w:hAnsi="Times New Roman;sans-serif"/>
          <w:b/>
          <w:color w:val="000000"/>
          <w:sz w:val="13"/>
        </w:rPr>
        <w:t>2</w:t>
      </w:r>
      <w:r>
        <w:rPr>
          <w:color w:val="000000"/>
        </w:rPr>
        <w:t xml:space="preserve"> </w:t>
      </w:r>
      <w:r>
        <w:rPr>
          <w:rFonts w:ascii="Times New Roman;sans-serif" w:hAnsi="Times New Roman;sans-serif"/>
          <w:b w:val="false"/>
          <w:color w:val="000000"/>
          <w:sz w:val="20"/>
        </w:rPr>
        <w:t>were driven by the same factors as the segment earnings and adjusted for identified items.</w:t>
      </w:r>
    </w:p>
    <w:p>
      <w:pPr>
        <w:pStyle w:val="TextBody"/>
        <w:bidi w:val="0"/>
        <w:spacing w:lineRule="auto" w:line="288" w:before="120" w:after="120"/>
        <w:jc w:val="left"/>
        <w:rPr/>
      </w:pPr>
      <w:r>
        <w:rPr>
          <w:rFonts w:ascii="Times New Roman;sans-serif" w:hAnsi="Times New Roman;sans-serif"/>
          <w:b/>
          <w:color w:val="000000"/>
          <w:sz w:val="20"/>
        </w:rPr>
        <w:t xml:space="preserve">Cash flow from operating activities </w:t>
      </w:r>
      <w:r>
        <w:rPr>
          <w:rFonts w:ascii="Times New Roman;sans-serif" w:hAnsi="Times New Roman;sans-serif"/>
          <w:b w:val="false"/>
          <w:color w:val="000000"/>
          <w:sz w:val="20"/>
        </w:rPr>
        <w:t>for the full year 2023 was primarily driven by Adjusted EBITDA, and a working capital inflow of $2,023 million, partly offset by net cash outflows related to derivatives of $4,668 million, and tax payments of $3,574 million.</w:t>
      </w:r>
    </w:p>
    <w:p>
      <w:pPr>
        <w:pStyle w:val="TextBody"/>
        <w:bidi w:val="0"/>
        <w:spacing w:lineRule="auto" w:line="288" w:before="120" w:after="120"/>
        <w:jc w:val="left"/>
        <w:rPr/>
      </w:pPr>
      <w:r>
        <w:rPr>
          <w:rFonts w:ascii="Times New Roman;sans-serif" w:hAnsi="Times New Roman;sans-serif"/>
          <w:b/>
          <w:color w:val="000000"/>
          <w:sz w:val="20"/>
        </w:rPr>
        <w:t>Total oil and gas production</w:t>
      </w:r>
      <w:r>
        <w:rPr>
          <w:rFonts w:ascii="Times New Roman;sans-serif" w:hAnsi="Times New Roman;sans-serif"/>
          <w:b w:val="false"/>
          <w:color w:val="000000"/>
          <w:sz w:val="20"/>
        </w:rPr>
        <w:t>, compared with the full year 2022, increased by 2% mainly due to ramp-up of new fields in Oman, Canada, Australia, and Trinidad and Tobago, and lower maintenance in Pearl GTL (Qatar) and Trinidad and Tobago, partly offset by derecognition of Sakhalin-related volumes, and production-sharing contract effects in Egypt and Pearl GTL (Qatar). LNG liquefaction volumes decreased by 5% mainly due to the derecognition of Sakhalin-related volumes.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272"/>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All earnings amounts are shown post-tax, unless stated otherwise.</w:t>
      </w:r>
    </w:p>
    <w:p>
      <w:pPr>
        <w:pStyle w:val="TextBody"/>
        <w:bidi w:val="0"/>
        <w:spacing w:lineRule="auto" w:line="268" w:before="0" w:after="0"/>
        <w:ind w:left="0" w:right="0" w:hanging="272"/>
        <w:jc w:val="left"/>
        <w:rPr/>
      </w:pPr>
      <w:r>
        <w:rPr>
          <w:rFonts w:ascii="Times New Roman;sans-serif" w:hAnsi="Times New Roman;sans-serif"/>
          <w:b w:val="false"/>
          <w:color w:val="000000"/>
          <w:sz w:val="12"/>
        </w:rPr>
        <w:t>2.</w:t>
      </w:r>
      <w:r>
        <w:rPr>
          <w:rFonts w:ascii="Times New Roman;sans-serif" w:hAnsi="Times New Roman;sans-serif"/>
          <w:b w:val="false"/>
          <w:color w:val="000000"/>
          <w:sz w:val="20"/>
        </w:rPr>
        <w:t>Adjusted EBITDA is without taxation.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UPSTREAM</w:t>
      </w:r>
    </w:p>
    <w:tbl>
      <w:tblPr>
        <w:tblW w:w="10205" w:type="dxa"/>
        <w:jc w:val="left"/>
        <w:tblInd w:w="0" w:type="dxa"/>
        <w:tblLayout w:type="fixed"/>
        <w:tblCellMar>
          <w:top w:w="28" w:type="dxa"/>
          <w:left w:w="28" w:type="dxa"/>
          <w:bottom w:w="28" w:type="dxa"/>
          <w:right w:w="28" w:type="dxa"/>
        </w:tblCellMar>
      </w:tblPr>
      <w:tblGrid>
        <w:gridCol w:w="335"/>
        <w:gridCol w:w="296"/>
        <w:gridCol w:w="229"/>
        <w:gridCol w:w="312"/>
        <w:gridCol w:w="304"/>
        <w:gridCol w:w="234"/>
        <w:gridCol w:w="340"/>
        <w:gridCol w:w="342"/>
        <w:gridCol w:w="234"/>
        <w:gridCol w:w="140"/>
        <w:gridCol w:w="140"/>
        <w:gridCol w:w="141"/>
        <w:gridCol w:w="1394"/>
        <w:gridCol w:w="1368"/>
        <w:gridCol w:w="1390"/>
        <w:gridCol w:w="275"/>
        <w:gridCol w:w="275"/>
        <w:gridCol w:w="276"/>
        <w:gridCol w:w="359"/>
        <w:gridCol w:w="362"/>
        <w:gridCol w:w="156"/>
        <w:gridCol w:w="360"/>
        <w:gridCol w:w="361"/>
        <w:gridCol w:w="156"/>
        <w:gridCol w:w="123"/>
        <w:gridCol w:w="123"/>
        <w:gridCol w:w="180"/>
      </w:tblGrid>
      <w:tr>
        <w:trPr/>
        <w:tc>
          <w:tcPr>
            <w:tcW w:w="33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0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4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Full year</w:t>
            </w:r>
          </w:p>
        </w:tc>
      </w:tr>
      <w:tr>
        <w:trPr/>
        <w:tc>
          <w:tcPr>
            <w:tcW w:w="86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85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91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42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%¹</w:t>
            </w:r>
          </w:p>
        </w:tc>
        <w:tc>
          <w:tcPr>
            <w:tcW w:w="415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Reference</w:t>
            </w:r>
          </w:p>
        </w:tc>
        <w:tc>
          <w:tcPr>
            <w:tcW w:w="87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7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63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22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w:t>
            </w:r>
          </w:p>
        </w:tc>
        <w:tc>
          <w:tcPr>
            <w:tcW w:w="68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23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15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Segment earnings</w:t>
            </w:r>
            <w:r>
              <w:rPr>
                <w:rFonts w:ascii="Times New Roman;sans-serif" w:hAnsi="Times New Roman;sans-serif"/>
                <w:b w:val="false"/>
                <w:color w:val="000000"/>
                <w:sz w:val="13"/>
              </w:rPr>
              <w:t>2</w:t>
            </w:r>
          </w:p>
        </w:tc>
        <w:tc>
          <w:tcPr>
            <w:tcW w:w="826"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8,528 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16,222 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 Identified items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Earnings²</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152"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3"/>
              </w:rPr>
              <w:t>2</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63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5,787 </w:t>
            </w:r>
          </w:p>
        </w:tc>
        <w:tc>
          <w:tcPr>
            <w:tcW w:w="22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5,336 </w:t>
            </w:r>
          </w:p>
        </w:tc>
        <w:tc>
          <w:tcPr>
            <w:tcW w:w="23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7,224 </w:t>
            </w:r>
          </w:p>
        </w:tc>
        <w:tc>
          <w:tcPr>
            <w:tcW w:w="23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15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w:t>
            </w:r>
          </w:p>
        </w:tc>
        <w:tc>
          <w:tcPr>
            <w:tcW w:w="826"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21,450 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29,641 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capital expenditure</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22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23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23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15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Liquids production available for sale (thousand b/d)</w:t>
            </w:r>
          </w:p>
        </w:tc>
        <w:tc>
          <w:tcPr>
            <w:tcW w:w="826"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production available for sale (million scf/d)</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631"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229"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234"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1,859 </w:t>
            </w:r>
          </w:p>
        </w:tc>
        <w:tc>
          <w:tcPr>
            <w:tcW w:w="234"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152"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available for sale (thousand boe/d)</w:t>
            </w:r>
          </w:p>
        </w:tc>
        <w:tc>
          <w:tcPr>
            <w:tcW w:w="826"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56"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1,897 </w:t>
            </w:r>
          </w:p>
        </w:tc>
        <w:tc>
          <w:tcPr>
            <w:tcW w:w="156"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bl>
    <w:p>
      <w:pPr>
        <w:pStyle w:val="TextBody"/>
        <w:bidi w:val="0"/>
        <w:spacing w:lineRule="auto" w:line="288" w:before="0" w:after="0"/>
        <w:ind w:left="0" w:right="0" w:hanging="142"/>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Q4 on Q3 change</w:t>
      </w:r>
    </w:p>
    <w:p>
      <w:pPr>
        <w:pStyle w:val="TextBody"/>
        <w:bidi w:val="0"/>
        <w:spacing w:lineRule="auto" w:line="288" w:before="0" w:after="0"/>
        <w:ind w:left="0" w:right="0" w:hanging="142"/>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Segment earnings, Adjusted Earnings and Adjusted EBITDA are presented on a CCS basis (see Note 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Upstream segment includes exploration and extraction of crude oil, natural gas and natural gas liquids. It also markets and transports oil and gas, and operates the infrastructure necessary to deliver them to the market.</w:t>
      </w:r>
    </w:p>
    <w:p>
      <w:pPr>
        <w:pStyle w:val="TextBody"/>
        <w:bidi w:val="0"/>
        <w:spacing w:lineRule="auto" w:line="288" w:before="120" w:after="120"/>
        <w:jc w:val="left"/>
        <w:rPr/>
      </w:pPr>
      <w:r>
        <w:rPr>
          <w:rFonts w:ascii="Times New Roman;sans-serif" w:hAnsi="Times New Roman;sans-serif"/>
          <w:b/>
          <w:color w:val="000000"/>
          <w:sz w:val="20"/>
        </w:rPr>
        <w:t>Quarter Analysis</w:t>
      </w:r>
      <w:r>
        <w:rPr>
          <w:rFonts w:ascii="Times New Roman;sans-serif" w:hAnsi="Times New Roman;sans-serif"/>
          <w:b/>
          <w:color w:val="000000"/>
          <w:sz w:val="13"/>
        </w:rPr>
        <w:t>1</w:t>
      </w:r>
    </w:p>
    <w:p>
      <w:pPr>
        <w:pStyle w:val="TextBody"/>
        <w:bidi w:val="0"/>
        <w:spacing w:lineRule="auto" w:line="288" w:before="120" w:after="120"/>
        <w:jc w:val="left"/>
        <w:rPr/>
      </w:pPr>
      <w:r>
        <w:rPr>
          <w:rFonts w:ascii="Times New Roman;sans-serif" w:hAnsi="Times New Roman;sans-serif"/>
          <w:b/>
          <w:color w:val="000000"/>
          <w:sz w:val="20"/>
        </w:rPr>
        <w:t>Segment earnin</w:t>
      </w:r>
      <w:r>
        <w:rPr>
          <w:rFonts w:ascii="Times New Roman;sans-serif" w:hAnsi="Times New Roman;sans-serif"/>
          <w:b/>
          <w:color w:val="000000"/>
          <w:sz w:val="20"/>
          <w:shd w:fill="FFFFFF" w:val="clear"/>
        </w:rPr>
        <w:t>gs</w:t>
      </w:r>
      <w:r>
        <w:rPr>
          <w:rFonts w:ascii="Times New Roman;sans-serif" w:hAnsi="Times New Roman;sans-serif"/>
          <w:b w:val="false"/>
          <w:color w:val="000000"/>
          <w:sz w:val="20"/>
          <w:shd w:fill="FFFFFF" w:val="clear"/>
        </w:rPr>
        <w:t xml:space="preserve">, compared with the </w:t>
      </w:r>
      <w:r>
        <w:rPr>
          <w:rFonts w:ascii="Times New Roman;sans-serif" w:hAnsi="Times New Roman;sans-serif"/>
          <w:b w:val="false"/>
          <w:color w:val="000000"/>
          <w:sz w:val="20"/>
        </w:rPr>
        <w:t>third quarter 2023</w:t>
      </w:r>
      <w:r>
        <w:rPr>
          <w:rFonts w:ascii="Times New Roman;sans-serif" w:hAnsi="Times New Roman;sans-serif"/>
          <w:b w:val="false"/>
          <w:color w:val="000000"/>
          <w:sz w:val="20"/>
          <w:shd w:fill="FFFFFF" w:val="clear"/>
        </w:rPr>
        <w:t xml:space="preserve">, mainly reflected favourable movements in deferred tax positions ($628 million) and higher volumes (increase of $185 million). </w:t>
      </w:r>
    </w:p>
    <w:p>
      <w:pPr>
        <w:pStyle w:val="TextBody"/>
        <w:bidi w:val="0"/>
        <w:spacing w:lineRule="auto" w:line="288" w:before="120" w:after="120"/>
        <w:jc w:val="left"/>
        <w:rPr/>
      </w:pPr>
      <w:r>
        <w:rPr>
          <w:rFonts w:ascii="Times New Roman;sans-serif" w:hAnsi="Times New Roman;sans-serif"/>
          <w:b w:val="false"/>
          <w:color w:val="000000"/>
          <w:sz w:val="20"/>
        </w:rPr>
        <w:t>Fourth quarter 2023</w:t>
      </w:r>
      <w:r>
        <w:rPr>
          <w:color w:val="000000"/>
          <w:shd w:fill="FFFFFF" w:val="clear"/>
        </w:rPr>
        <w:t xml:space="preserve"> </w:t>
      </w:r>
      <w:r>
        <w:rPr>
          <w:rFonts w:ascii="Times New Roman;sans-serif" w:hAnsi="Times New Roman;sans-serif"/>
          <w:b w:val="false"/>
          <w:color w:val="000000"/>
          <w:sz w:val="20"/>
          <w:shd w:fill="FFFFFF" w:val="clear"/>
        </w:rPr>
        <w:t>segment earnings also included net impairment charges and reversals of $454 million, charges of $424 million related to the impact of the weakening Argentine peso on a deferred tax position, an</w:t>
      </w:r>
      <w:r>
        <w:rPr>
          <w:rFonts w:ascii="Times New Roman;sans-serif" w:hAnsi="Times New Roman;sans-serif"/>
          <w:b w:val="false"/>
          <w:color w:val="000000"/>
          <w:sz w:val="20"/>
        </w:rPr>
        <w:t>d legal provisions of $358 million, partly offset by a gain of $182 million due to the impact of the discount rate change on provisions. These charges and gains are pa</w:t>
      </w:r>
      <w:r>
        <w:rPr>
          <w:rFonts w:ascii="Times New Roman;sans-serif" w:hAnsi="Times New Roman;sans-serif"/>
          <w:b w:val="false"/>
          <w:color w:val="000000"/>
          <w:sz w:val="20"/>
          <w:shd w:fill="FFFFFF" w:val="clear"/>
        </w:rPr>
        <w:t xml:space="preserve">rt of identified items, and compare with the </w:t>
      </w:r>
      <w:r>
        <w:rPr>
          <w:rFonts w:ascii="Times New Roman;sans-serif" w:hAnsi="Times New Roman;sans-serif"/>
          <w:b w:val="false"/>
          <w:color w:val="000000"/>
          <w:sz w:val="20"/>
        </w:rPr>
        <w:t xml:space="preserve">third quarter 2023 which </w:t>
      </w:r>
      <w:r>
        <w:rPr>
          <w:rFonts w:ascii="Times New Roman;sans-serif" w:hAnsi="Times New Roman;sans-serif"/>
          <w:b w:val="false"/>
          <w:color w:val="000000"/>
          <w:sz w:val="20"/>
          <w:shd w:fill="FFFFFF" w:val="clear"/>
        </w:rPr>
        <w:t>included legal provisions of $169 million and charges of $62 million related to the impact of the weakening Brazilian real on a deferred tax position.</w:t>
      </w:r>
    </w:p>
    <w:p>
      <w:pPr>
        <w:pStyle w:val="TextBody"/>
        <w:bidi w:val="0"/>
        <w:spacing w:lineRule="auto" w:line="288" w:before="120" w:after="120"/>
        <w:jc w:val="left"/>
        <w:rPr/>
      </w:pPr>
      <w:r>
        <w:rPr>
          <w:rFonts w:ascii="Times New Roman;sans-serif" w:hAnsi="Times New Roman;sans-serif"/>
          <w:b/>
          <w:color w:val="000000"/>
          <w:sz w:val="20"/>
        </w:rPr>
        <w:t xml:space="preserve">Adjusted Earnings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color w:val="000000"/>
          <w:sz w:val="20"/>
        </w:rPr>
        <w:t>Adjusted EBITDA</w:t>
      </w:r>
      <w:r>
        <w:rPr>
          <w:rFonts w:ascii="Times New Roman;sans-serif" w:hAnsi="Times New Roman;sans-serif"/>
          <w:b/>
          <w:color w:val="000000"/>
          <w:sz w:val="13"/>
        </w:rPr>
        <w:t>2</w:t>
      </w:r>
      <w:r>
        <w:rPr>
          <w:color w:val="000000"/>
        </w:rPr>
        <w:t xml:space="preserve"> </w:t>
      </w:r>
      <w:r>
        <w:rPr>
          <w:rFonts w:ascii="Times New Roman;sans-serif" w:hAnsi="Times New Roman;sans-serif"/>
          <w:b w:val="false"/>
          <w:color w:val="000000"/>
          <w:sz w:val="20"/>
        </w:rPr>
        <w:t>were driven by the same factors as the segment earnings and adjusted for identified items.</w:t>
      </w:r>
    </w:p>
    <w:p>
      <w:pPr>
        <w:pStyle w:val="TextBody"/>
        <w:bidi w:val="0"/>
        <w:spacing w:lineRule="auto" w:line="288" w:before="120" w:after="120"/>
        <w:jc w:val="left"/>
        <w:rPr/>
      </w:pPr>
      <w:r>
        <w:rPr>
          <w:rFonts w:ascii="Times New Roman;sans-serif" w:hAnsi="Times New Roman;sans-serif"/>
          <w:b/>
          <w:color w:val="000000"/>
          <w:sz w:val="20"/>
        </w:rPr>
        <w:t xml:space="preserve">Cash flow from operating activities </w:t>
      </w:r>
      <w:r>
        <w:rPr>
          <w:rFonts w:ascii="Times New Roman;sans-serif" w:hAnsi="Times New Roman;sans-serif"/>
          <w:b w:val="false"/>
          <w:color w:val="000000"/>
          <w:sz w:val="20"/>
        </w:rPr>
        <w:t>for the quarter was primarily driven by Adjusted EBITDA, partly offset by tax payments of $2,015 million.</w:t>
      </w:r>
    </w:p>
    <w:p>
      <w:pPr>
        <w:pStyle w:val="TextBody"/>
        <w:bidi w:val="0"/>
        <w:spacing w:lineRule="auto" w:line="288" w:before="120" w:after="120"/>
        <w:jc w:val="left"/>
        <w:rPr/>
      </w:pPr>
      <w:r>
        <w:rPr>
          <w:rFonts w:ascii="Times New Roman;sans-serif" w:hAnsi="Times New Roman;sans-serif"/>
          <w:b/>
          <w:color w:val="000000"/>
          <w:sz w:val="20"/>
        </w:rPr>
        <w:t>Total production</w:t>
      </w:r>
      <w:r>
        <w:rPr>
          <w:rFonts w:ascii="Times New Roman;sans-serif" w:hAnsi="Times New Roman;sans-serif"/>
          <w:b w:val="false"/>
          <w:color w:val="000000"/>
          <w:sz w:val="20"/>
        </w:rPr>
        <w:t>, compared with the third quarter 2023</w:t>
      </w:r>
      <w:r>
        <w:rPr>
          <w:rFonts w:ascii="Times New Roman;sans-serif" w:hAnsi="Times New Roman;sans-serif"/>
          <w:b w:val="false"/>
          <w:color w:val="000000"/>
          <w:sz w:val="20"/>
          <w:shd w:fill="FFFFFF" w:val="clear"/>
        </w:rPr>
        <w:t>, increased mainly due to lower scheduled maintenance and growth from new fields.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120"/>
        <w:jc w:val="left"/>
        <w:rPr/>
      </w:pPr>
      <w:r>
        <w:rPr>
          <w:rFonts w:ascii="Times New Roman;sans-serif" w:hAnsi="Times New Roman;sans-serif"/>
          <w:b/>
          <w:color w:val="000000"/>
          <w:sz w:val="20"/>
        </w:rPr>
        <w:t>Full Year Analysis</w:t>
      </w:r>
      <w:r>
        <w:rPr>
          <w:rFonts w:ascii="Times New Roman;sans-serif" w:hAnsi="Times New Roman;sans-serif"/>
          <w:b/>
          <w:color w:val="000000"/>
          <w:sz w:val="13"/>
        </w:rPr>
        <w:t>1</w:t>
      </w:r>
    </w:p>
    <w:p>
      <w:pPr>
        <w:pStyle w:val="TextBody"/>
        <w:bidi w:val="0"/>
        <w:spacing w:lineRule="auto" w:line="268" w:before="120" w:after="120"/>
        <w:jc w:val="left"/>
        <w:rPr/>
      </w:pPr>
      <w:r>
        <w:rPr>
          <w:rFonts w:ascii="Times New Roman;sans-serif" w:hAnsi="Times New Roman;sans-serif"/>
          <w:b/>
          <w:color w:val="000000"/>
          <w:sz w:val="20"/>
        </w:rPr>
        <w:t>Segment earnin</w:t>
      </w:r>
      <w:r>
        <w:rPr>
          <w:rFonts w:ascii="Times New Roman;sans-serif" w:hAnsi="Times New Roman;sans-serif"/>
          <w:b/>
          <w:color w:val="000000"/>
          <w:sz w:val="20"/>
          <w:shd w:fill="FFFFFF" w:val="clear"/>
        </w:rPr>
        <w:t>gs</w:t>
      </w:r>
      <w:r>
        <w:rPr>
          <w:rFonts w:ascii="Times New Roman;sans-serif" w:hAnsi="Times New Roman;sans-serif"/>
          <w:b w:val="false"/>
          <w:color w:val="000000"/>
          <w:sz w:val="20"/>
          <w:shd w:fill="FFFFFF" w:val="clear"/>
        </w:rPr>
        <w:t>, compared with the full year 2022, mainly reflected lower realised oil and gas prices (decrease of $5,696 million) and lower volumes (decrease of $2,001 million).</w:t>
      </w:r>
    </w:p>
    <w:p>
      <w:pPr>
        <w:pStyle w:val="TextBody"/>
        <w:bidi w:val="0"/>
        <w:spacing w:lineRule="auto" w:line="26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Full year 2023 segment earnings also included net impairment charges and reversals of $642 million, and net charges of $295 million related to the impact of the weakening Argentine peso and strengthening Brazilian real on a deferred tax position. These charges and gains are part of identified items, and compare with the full year 2022 which included net impairment reversals and charges of $853 million, and charges of $1,385 million relating to the EU solidarity contribution and $802 million relating to the UK Energy Profits Levy. </w:t>
      </w:r>
    </w:p>
    <w:p>
      <w:pPr>
        <w:pStyle w:val="TextBody"/>
        <w:bidi w:val="0"/>
        <w:spacing w:lineRule="auto" w:line="268" w:before="120" w:after="120"/>
        <w:jc w:val="left"/>
        <w:rPr/>
      </w:pPr>
      <w:r>
        <w:rPr>
          <w:rFonts w:ascii="Times New Roman;sans-serif" w:hAnsi="Times New Roman;sans-serif"/>
          <w:b/>
          <w:color w:val="000000"/>
          <w:sz w:val="20"/>
        </w:rPr>
        <w:t xml:space="preserve">Adjusted Earnings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color w:val="000000"/>
          <w:sz w:val="20"/>
        </w:rPr>
        <w:t>Adjusted EBITDA</w:t>
      </w:r>
      <w:r>
        <w:rPr>
          <w:rFonts w:ascii="Times New Roman;sans-serif" w:hAnsi="Times New Roman;sans-serif"/>
          <w:b/>
          <w:color w:val="000000"/>
          <w:sz w:val="13"/>
        </w:rPr>
        <w:t>2</w:t>
      </w:r>
      <w:r>
        <w:rPr>
          <w:color w:val="000000"/>
        </w:rPr>
        <w:t xml:space="preserve"> </w:t>
      </w:r>
      <w:r>
        <w:rPr>
          <w:rFonts w:ascii="Times New Roman;sans-serif" w:hAnsi="Times New Roman;sans-serif"/>
          <w:b w:val="false"/>
          <w:color w:val="000000"/>
          <w:sz w:val="20"/>
        </w:rPr>
        <w:t>were driven by the same factors as the segment earnings and adjusted for identified items.</w:t>
      </w:r>
    </w:p>
    <w:p>
      <w:pPr>
        <w:pStyle w:val="TextBody"/>
        <w:bidi w:val="0"/>
        <w:spacing w:lineRule="auto" w:line="268" w:before="120" w:after="120"/>
        <w:jc w:val="left"/>
        <w:rPr/>
      </w:pPr>
      <w:r>
        <w:rPr>
          <w:rFonts w:ascii="Times New Roman;sans-serif" w:hAnsi="Times New Roman;sans-serif"/>
          <w:b/>
          <w:color w:val="000000"/>
          <w:sz w:val="20"/>
        </w:rPr>
        <w:t>Cash flow from operating activities</w:t>
      </w:r>
      <w:r>
        <w:rPr>
          <w:color w:val="000000"/>
        </w:rPr>
        <w:t xml:space="preserve"> </w:t>
      </w:r>
      <w:r>
        <w:rPr>
          <w:rFonts w:ascii="Times New Roman;sans-serif" w:hAnsi="Times New Roman;sans-serif"/>
          <w:b w:val="false"/>
          <w:color w:val="000000"/>
          <w:sz w:val="20"/>
        </w:rPr>
        <w:t>for the full year 2023 was primarily driven by Adjusted EBITDA, partly offset by tax payments of $8,470 million</w:t>
      </w:r>
      <w:r>
        <w:rPr>
          <w:rFonts w:ascii="Times New Roman;sans-serif" w:hAnsi="Times New Roman;sans-serif"/>
          <w:b w:val="false"/>
          <w:color w:val="000000"/>
          <w:sz w:val="20"/>
          <w:shd w:fill="FFFFFF" w:val="clear"/>
        </w:rPr>
        <w:t>.</w:t>
      </w:r>
    </w:p>
    <w:p>
      <w:pPr>
        <w:pStyle w:val="TextBody"/>
        <w:bidi w:val="0"/>
        <w:spacing w:lineRule="auto" w:line="268" w:before="120" w:after="120"/>
        <w:jc w:val="left"/>
        <w:rPr/>
      </w:pPr>
      <w:r>
        <w:rPr>
          <w:rFonts w:ascii="Times New Roman;sans-serif" w:hAnsi="Times New Roman;sans-serif"/>
          <w:b/>
          <w:color w:val="000000"/>
          <w:sz w:val="20"/>
          <w:shd w:fill="FFFFFF" w:val="clear"/>
        </w:rPr>
        <w:t>Total production</w:t>
      </w:r>
      <w:r>
        <w:rPr>
          <w:rFonts w:ascii="Times New Roman;sans-serif" w:hAnsi="Times New Roman;sans-serif"/>
          <w:b w:val="false"/>
          <w:color w:val="000000"/>
          <w:sz w:val="20"/>
          <w:shd w:fill="FFFFFF" w:val="clear"/>
        </w:rPr>
        <w:t xml:space="preserve">, compared with the full year 2022, decreased mainly due to the impact of divestments. The impact of field decline was more than offset by growth from new fields.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72"/>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All earnings amounts are shown post-tax, unless stated otherwise.</w:t>
      </w:r>
    </w:p>
    <w:p>
      <w:pPr>
        <w:pStyle w:val="TextBody"/>
        <w:bidi w:val="0"/>
        <w:spacing w:lineRule="auto" w:line="288" w:before="0" w:after="0"/>
        <w:ind w:left="0" w:right="0" w:hanging="272"/>
        <w:jc w:val="left"/>
        <w:rPr/>
      </w:pPr>
      <w:r>
        <w:rPr>
          <w:rFonts w:ascii="Times New Roman;sans-serif" w:hAnsi="Times New Roman;sans-serif"/>
          <w:b w:val="false"/>
          <w:color w:val="000000"/>
          <w:sz w:val="12"/>
        </w:rPr>
        <w:t>2.</w:t>
      </w:r>
      <w:r>
        <w:rPr>
          <w:rFonts w:ascii="Times New Roman;sans-serif" w:hAnsi="Times New Roman;sans-serif"/>
          <w:b w:val="false"/>
          <w:color w:val="000000"/>
          <w:sz w:val="20"/>
        </w:rPr>
        <w:t>Adjusted EBITDA is without taxation.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MARKETING</w:t>
      </w:r>
    </w:p>
    <w:tbl>
      <w:tblPr>
        <w:tblW w:w="10205" w:type="dxa"/>
        <w:jc w:val="left"/>
        <w:tblInd w:w="0" w:type="dxa"/>
        <w:tblLayout w:type="fixed"/>
        <w:tblCellMar>
          <w:top w:w="28" w:type="dxa"/>
          <w:left w:w="28" w:type="dxa"/>
          <w:bottom w:w="28" w:type="dxa"/>
          <w:right w:w="28" w:type="dxa"/>
        </w:tblCellMar>
      </w:tblPr>
      <w:tblGrid>
        <w:gridCol w:w="344"/>
        <w:gridCol w:w="287"/>
        <w:gridCol w:w="233"/>
        <w:gridCol w:w="109"/>
        <w:gridCol w:w="109"/>
        <w:gridCol w:w="109"/>
        <w:gridCol w:w="322"/>
        <w:gridCol w:w="294"/>
        <w:gridCol w:w="238"/>
        <w:gridCol w:w="109"/>
        <w:gridCol w:w="109"/>
        <w:gridCol w:w="109"/>
        <w:gridCol w:w="322"/>
        <w:gridCol w:w="294"/>
        <w:gridCol w:w="238"/>
        <w:gridCol w:w="109"/>
        <w:gridCol w:w="109"/>
        <w:gridCol w:w="109"/>
        <w:gridCol w:w="174"/>
        <w:gridCol w:w="174"/>
        <w:gridCol w:w="178"/>
        <w:gridCol w:w="1070"/>
        <w:gridCol w:w="1049"/>
        <w:gridCol w:w="1063"/>
        <w:gridCol w:w="275"/>
        <w:gridCol w:w="275"/>
        <w:gridCol w:w="276"/>
        <w:gridCol w:w="308"/>
        <w:gridCol w:w="308"/>
        <w:gridCol w:w="156"/>
        <w:gridCol w:w="308"/>
        <w:gridCol w:w="308"/>
        <w:gridCol w:w="156"/>
        <w:gridCol w:w="166"/>
        <w:gridCol w:w="166"/>
        <w:gridCol w:w="242"/>
      </w:tblGrid>
      <w:tr>
        <w:trPr/>
        <w:tc>
          <w:tcPr>
            <w:tcW w:w="34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0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3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Full year</w:t>
            </w:r>
          </w:p>
        </w:tc>
      </w:tr>
      <w:tr>
        <w:trPr/>
        <w:tc>
          <w:tcPr>
            <w:tcW w:w="86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val="false"/>
                <w:color w:val="000000"/>
                <w:sz w:val="20"/>
              </w:rPr>
              <w:t>¹</w:t>
            </w:r>
          </w:p>
        </w:tc>
        <w:tc>
          <w:tcPr>
            <w:tcW w:w="318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Reference</w:t>
            </w:r>
          </w:p>
        </w:tc>
        <w:tc>
          <w:tcPr>
            <w:tcW w:w="7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57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631"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33"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238"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238"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182"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20"/>
              </w:rPr>
              <w:t>Segment earnings</w:t>
            </w:r>
            <w:r>
              <w:rPr>
                <w:rFonts w:ascii="Times New Roman;sans-serif" w:hAnsi="Times New Roman;sans-serif"/>
                <w:b w:val="false"/>
                <w:color w:val="000000"/>
                <w:sz w:val="22"/>
              </w:rPr>
              <w:t>²</w:t>
            </w:r>
          </w:p>
        </w:tc>
        <w:tc>
          <w:tcPr>
            <w:tcW w:w="826"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 which: Identified items </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182" w:type="dxa"/>
            <w:gridSpan w:val="3"/>
            <w:tcBorders/>
            <w:shd w:fill="CFF0FC"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20"/>
              </w:rPr>
              <w:t>Adjusted Earnings</w:t>
            </w:r>
            <w:r>
              <w:rPr>
                <w:rFonts w:ascii="Times New Roman;sans-serif" w:hAnsi="Times New Roman;sans-serif"/>
                <w:b w:val="false"/>
                <w:color w:val="000000"/>
                <w:sz w:val="22"/>
              </w:rPr>
              <w:t>²</w:t>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3"/>
              </w:rPr>
              <w:t>2</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631"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233"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238"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238"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3182"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w:t>
            </w:r>
          </w:p>
        </w:tc>
        <w:tc>
          <w:tcPr>
            <w:tcW w:w="826"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capital expenditure</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2,508 </w:t>
            </w:r>
          </w:p>
        </w:tc>
        <w:tc>
          <w:tcPr>
            <w:tcW w:w="233"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2,654 </w:t>
            </w:r>
          </w:p>
        </w:tc>
        <w:tc>
          <w:tcPr>
            <w:tcW w:w="238"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2,543 </w:t>
            </w:r>
          </w:p>
        </w:tc>
        <w:tc>
          <w:tcPr>
            <w:tcW w:w="238"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182" w:type="dxa"/>
            <w:gridSpan w:val="3"/>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sales volumes (thousand b/d)</w:t>
            </w:r>
          </w:p>
        </w:tc>
        <w:tc>
          <w:tcPr>
            <w:tcW w:w="826" w:type="dxa"/>
            <w:gridSpan w:val="3"/>
            <w:tcBorders>
              <w:top w:val="single" w:sz="2" w:space="0" w:color="000000"/>
              <w:bottom w:val="single" w:sz="2"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56"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2,503 </w:t>
            </w:r>
          </w:p>
        </w:tc>
        <w:tc>
          <w:tcPr>
            <w:tcW w:w="156"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pStyle w:val="TextBody"/>
        <w:bidi w:val="0"/>
        <w:spacing w:lineRule="auto" w:line="288" w:before="0" w:after="0"/>
        <w:ind w:left="0" w:right="0" w:hanging="142"/>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Q4 on Q3 change</w:t>
      </w:r>
    </w:p>
    <w:p>
      <w:pPr>
        <w:pStyle w:val="TextBody"/>
        <w:bidi w:val="0"/>
        <w:spacing w:lineRule="auto" w:line="288" w:before="0" w:after="120"/>
        <w:ind w:left="0" w:right="0" w:hanging="142"/>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Segment earnings, Adjusted Earnings and Adjusted EBITDA are presented on a CCS basis (see Note 2).</w:t>
      </w:r>
    </w:p>
    <w:p>
      <w:pPr>
        <w:pStyle w:val="TextBody"/>
        <w:bidi w:val="0"/>
        <w:spacing w:lineRule="auto" w:line="268" w:before="120" w:after="120"/>
        <w:jc w:val="left"/>
        <w:rPr/>
      </w:pPr>
      <w:r>
        <w:rPr>
          <w:rFonts w:ascii="Times New Roman;sans-serif" w:hAnsi="Times New Roman;sans-serif"/>
          <w:b w:val="false"/>
          <w:color w:val="000000"/>
          <w:sz w:val="20"/>
          <w:shd w:fill="FFFFFF" w:val="clear"/>
        </w:rPr>
        <w:t xml:space="preserve">The Marketing segment </w:t>
      </w:r>
      <w:r>
        <w:rPr>
          <w:rFonts w:ascii="Times New Roman;sans-serif" w:hAnsi="Times New Roman;sans-serif"/>
          <w:b w:val="false"/>
          <w:color w:val="000000"/>
          <w:sz w:val="20"/>
        </w:rPr>
        <w:t xml:space="preserve">comprises the Mobility, Lubricants, and Sectors &amp; Decarbonisation businesses. The Mobility business operates Shell’s retail network including electric vehicle charging services. The Lubricants business produces, markets and sells lubricants for road transport, and machinery used in manufacturing, mining, power generation, agriculture and construction. The Sectors &amp; Decarbonisation business sells fuels, speciality products and services including low-carbon energy solutions to a broad range of commercial customers including the aviation, marine, and agricultural sectors. </w:t>
      </w:r>
    </w:p>
    <w:p>
      <w:pPr>
        <w:pStyle w:val="TextBody"/>
        <w:bidi w:val="0"/>
        <w:spacing w:lineRule="auto" w:line="268" w:before="120" w:after="120"/>
        <w:jc w:val="left"/>
        <w:rPr/>
      </w:pPr>
      <w:r>
        <w:rPr>
          <w:rFonts w:ascii="Times New Roman;sans-serif" w:hAnsi="Times New Roman;sans-serif"/>
          <w:b/>
          <w:color w:val="000000"/>
          <w:sz w:val="20"/>
        </w:rPr>
        <w:t>Quarter Analysis</w:t>
      </w:r>
      <w:r>
        <w:rPr>
          <w:rFonts w:ascii="Times New Roman;sans-serif" w:hAnsi="Times New Roman;sans-serif"/>
          <w:b/>
          <w:color w:val="000000"/>
          <w:sz w:val="13"/>
        </w:rPr>
        <w:t>1</w:t>
      </w:r>
    </w:p>
    <w:p>
      <w:pPr>
        <w:pStyle w:val="TextBody"/>
        <w:bidi w:val="0"/>
        <w:spacing w:lineRule="auto" w:line="288" w:before="120" w:after="120"/>
        <w:jc w:val="left"/>
        <w:rPr/>
      </w:pPr>
      <w:r>
        <w:rPr>
          <w:rFonts w:ascii="Times New Roman;sans-serif" w:hAnsi="Times New Roman;sans-serif"/>
          <w:b/>
          <w:color w:val="000000"/>
          <w:sz w:val="20"/>
        </w:rPr>
        <w:t>Segment earnings</w:t>
      </w:r>
      <w:r>
        <w:rPr>
          <w:rFonts w:ascii="Times New Roman;sans-serif" w:hAnsi="Times New Roman;sans-serif"/>
          <w:b w:val="false"/>
          <w:color w:val="000000"/>
          <w:sz w:val="20"/>
        </w:rPr>
        <w:t xml:space="preserve">, compared with the third quarter 2023, reflected lower Marketing margins (decrease of $101 million) including lower Lubricants margins due to higher feedstock costs and impact of seasonality on Mobility margins, partly offset by higher Sectors &amp; Decarbonisation margins. Fourth quarter 2023 segment earnings also included lower tax charges (decrease of $121 million) mainly due to one-off tax helps. </w:t>
      </w:r>
    </w:p>
    <w:p>
      <w:pPr>
        <w:pStyle w:val="TextBody"/>
        <w:bidi w:val="0"/>
        <w:spacing w:lineRule="auto" w:line="288" w:before="120" w:after="120"/>
        <w:jc w:val="left"/>
        <w:rPr/>
      </w:pPr>
      <w:r>
        <w:rPr>
          <w:rFonts w:ascii="Times New Roman;sans-serif" w:hAnsi="Times New Roman;sans-serif"/>
          <w:b w:val="false"/>
          <w:color w:val="000000"/>
          <w:sz w:val="20"/>
        </w:rPr>
        <w:t>Fourth quarter 2023</w:t>
      </w:r>
      <w:r>
        <w:rPr>
          <w:color w:val="000000"/>
          <w:shd w:fill="FFFFFF" w:val="clear"/>
        </w:rPr>
        <w:t xml:space="preserve"> </w:t>
      </w:r>
      <w:r>
        <w:rPr>
          <w:rFonts w:ascii="Times New Roman;sans-serif" w:hAnsi="Times New Roman;sans-serif"/>
          <w:b w:val="false"/>
          <w:color w:val="000000"/>
          <w:sz w:val="20"/>
          <w:shd w:fill="FFFFFF" w:val="clear"/>
        </w:rPr>
        <w:t xml:space="preserve">segment earnings also included </w:t>
      </w:r>
      <w:r>
        <w:rPr>
          <w:rFonts w:ascii="Times New Roman;sans-serif" w:hAnsi="Times New Roman;sans-serif"/>
          <w:b w:val="false"/>
          <w:color w:val="000000"/>
          <w:sz w:val="20"/>
        </w:rPr>
        <w:t>impairment charges of</w:t>
      </w:r>
      <w:r>
        <w:rPr>
          <w:color w:val="000000"/>
          <w:shd w:fill="FFFFFF" w:val="clear"/>
        </w:rPr>
        <w:t xml:space="preserve"> </w:t>
      </w:r>
      <w:r>
        <w:rPr>
          <w:rFonts w:ascii="Times New Roman;sans-serif" w:hAnsi="Times New Roman;sans-serif"/>
          <w:b w:val="false"/>
          <w:color w:val="000000"/>
          <w:sz w:val="20"/>
          <w:shd w:fill="FFFFFF" w:val="clear"/>
        </w:rPr>
        <w:t>$406 million, and charges of $97 million related to redundancy and restructuring. These charges are part of identified items.</w:t>
      </w:r>
    </w:p>
    <w:p>
      <w:pPr>
        <w:pStyle w:val="TextBody"/>
        <w:bidi w:val="0"/>
        <w:spacing w:lineRule="auto" w:line="268" w:before="120" w:after="120"/>
        <w:jc w:val="left"/>
        <w:rPr/>
      </w:pPr>
      <w:r>
        <w:rPr>
          <w:rFonts w:ascii="Times New Roman;sans-serif" w:hAnsi="Times New Roman;sans-serif"/>
          <w:b/>
          <w:color w:val="000000"/>
          <w:sz w:val="20"/>
        </w:rPr>
        <w:t xml:space="preserve">Adjusted Earnings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color w:val="000000"/>
          <w:sz w:val="20"/>
        </w:rPr>
        <w:t>Adjusted EBITDA</w:t>
      </w:r>
      <w:r>
        <w:rPr>
          <w:rFonts w:ascii="Times New Roman;sans-serif" w:hAnsi="Times New Roman;sans-serif"/>
          <w:b/>
          <w:color w:val="000000"/>
          <w:sz w:val="13"/>
        </w:rPr>
        <w:t>2</w:t>
      </w:r>
      <w:r>
        <w:rPr>
          <w:color w:val="000000"/>
        </w:rPr>
        <w:t xml:space="preserve"> </w:t>
      </w:r>
      <w:r>
        <w:rPr>
          <w:rFonts w:ascii="Times New Roman;sans-serif" w:hAnsi="Times New Roman;sans-serif"/>
          <w:b w:val="false"/>
          <w:color w:val="000000"/>
          <w:sz w:val="20"/>
        </w:rPr>
        <w:t>were driven by the same factors as the segment earnings and adjusted for identified items.</w:t>
      </w:r>
    </w:p>
    <w:p>
      <w:pPr>
        <w:pStyle w:val="TextBody"/>
        <w:bidi w:val="0"/>
        <w:spacing w:lineRule="auto" w:line="288" w:before="120" w:after="120"/>
        <w:jc w:val="left"/>
        <w:rPr/>
      </w:pPr>
      <w:r>
        <w:rPr>
          <w:rFonts w:ascii="Times New Roman;sans-serif" w:hAnsi="Times New Roman;sans-serif"/>
          <w:b/>
          <w:color w:val="000000"/>
          <w:sz w:val="20"/>
        </w:rPr>
        <w:t>Cash flow from operating activities</w:t>
      </w:r>
      <w:r>
        <w:rPr>
          <w:color w:val="000000"/>
        </w:rPr>
        <w:t xml:space="preserve"> </w:t>
      </w:r>
      <w:r>
        <w:rPr>
          <w:rFonts w:ascii="Times New Roman;sans-serif" w:hAnsi="Times New Roman;sans-serif"/>
          <w:b w:val="false"/>
          <w:color w:val="000000"/>
          <w:sz w:val="20"/>
        </w:rPr>
        <w:t>for the quarter was primarily driven by Adjusted EBITDA and working capital inflows of $1,843 million. These inflows were partly offset by tax payments of $280 million and non-cash cost-of-sales (CCS) adjustments of $81 million.</w:t>
      </w:r>
    </w:p>
    <w:p>
      <w:pPr>
        <w:pStyle w:val="TextBody"/>
        <w:bidi w:val="0"/>
        <w:spacing w:lineRule="auto" w:line="288" w:before="120" w:after="120"/>
        <w:jc w:val="left"/>
        <w:rPr/>
      </w:pPr>
      <w:r>
        <w:rPr>
          <w:rFonts w:ascii="Times New Roman;sans-serif" w:hAnsi="Times New Roman;sans-serif"/>
          <w:b/>
          <w:color w:val="000000"/>
          <w:sz w:val="20"/>
        </w:rPr>
        <w:t>Marketing sales volumes</w:t>
      </w:r>
      <w:r>
        <w:rPr>
          <w:color w:val="000000"/>
        </w:rPr>
        <w:t xml:space="preserve"> </w:t>
      </w:r>
      <w:r>
        <w:rPr>
          <w:rFonts w:ascii="Times New Roman;sans-serif" w:hAnsi="Times New Roman;sans-serif"/>
          <w:b w:val="false"/>
          <w:color w:val="000000"/>
          <w:sz w:val="20"/>
        </w:rPr>
        <w:t>(comprising hydrocarbon sales), compared with the third quarter 2023, decreased mainly due to seasonality.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120"/>
        <w:jc w:val="left"/>
        <w:rPr/>
      </w:pPr>
      <w:r>
        <w:rPr>
          <w:rFonts w:ascii="Times New Roman;sans-serif" w:hAnsi="Times New Roman;sans-serif"/>
          <w:b/>
          <w:color w:val="000000"/>
          <w:sz w:val="20"/>
        </w:rPr>
        <w:t>Full Year Analysis</w:t>
      </w:r>
      <w:r>
        <w:rPr>
          <w:rFonts w:ascii="Times New Roman;sans-serif" w:hAnsi="Times New Roman;sans-serif"/>
          <w:b/>
          <w:color w:val="000000"/>
          <w:sz w:val="13"/>
        </w:rPr>
        <w:t>1</w:t>
      </w:r>
    </w:p>
    <w:p>
      <w:pPr>
        <w:pStyle w:val="TextBody"/>
        <w:bidi w:val="0"/>
        <w:spacing w:lineRule="auto" w:line="268" w:before="120" w:after="120"/>
        <w:jc w:val="left"/>
        <w:rPr/>
      </w:pPr>
      <w:r>
        <w:rPr>
          <w:rFonts w:ascii="Times New Roman;sans-serif" w:hAnsi="Times New Roman;sans-serif"/>
          <w:b/>
          <w:color w:val="000000"/>
          <w:sz w:val="20"/>
        </w:rPr>
        <w:t>Segment earnings</w:t>
      </w:r>
      <w:r>
        <w:rPr>
          <w:rFonts w:ascii="Times New Roman;sans-serif" w:hAnsi="Times New Roman;sans-serif"/>
          <w:b w:val="false"/>
          <w:color w:val="000000"/>
          <w:sz w:val="20"/>
        </w:rPr>
        <w:t>, compared with the full year 2022, reflected higher Marketing margins (increase of $1,465 million) including higher unit margins in Mobility, higher margins in Lubricants due to lower feedstock costs and higher volumes in Sectors &amp; Decarbonisation. These were partly offset by higher operating expenses (increase of $703 million) and higher depreciation charges (increase of $264 million) mainly due to asset acquisitions.</w:t>
      </w:r>
    </w:p>
    <w:p>
      <w:pPr>
        <w:pStyle w:val="TextBody"/>
        <w:bidi w:val="0"/>
        <w:spacing w:lineRule="auto" w:line="268" w:before="120" w:after="120"/>
        <w:jc w:val="left"/>
        <w:rPr/>
      </w:pPr>
      <w:r>
        <w:rPr>
          <w:rFonts w:ascii="Times New Roman;sans-serif" w:hAnsi="Times New Roman;sans-serif"/>
          <w:b w:val="false"/>
          <w:color w:val="000000"/>
          <w:sz w:val="20"/>
        </w:rPr>
        <w:t>Full year 2023 segment earnings also i</w:t>
      </w:r>
      <w:r>
        <w:rPr>
          <w:rFonts w:ascii="Times New Roman;sans-serif" w:hAnsi="Times New Roman;sans-serif"/>
          <w:b w:val="false"/>
          <w:color w:val="000000"/>
          <w:sz w:val="20"/>
          <w:shd w:fill="FFFFFF" w:val="clear"/>
        </w:rPr>
        <w:t xml:space="preserve">ncluded </w:t>
      </w:r>
      <w:r>
        <w:rPr>
          <w:rFonts w:ascii="Times New Roman;sans-serif" w:hAnsi="Times New Roman;sans-serif"/>
          <w:b w:val="false"/>
          <w:color w:val="000000"/>
          <w:sz w:val="20"/>
        </w:rPr>
        <w:t>net impairment charges and reversals of $457 million</w:t>
      </w:r>
      <w:r>
        <w:rPr>
          <w:rFonts w:ascii="Times New Roman;sans-serif" w:hAnsi="Times New Roman;sans-serif"/>
          <w:b w:val="false"/>
          <w:color w:val="000000"/>
          <w:sz w:val="20"/>
          <w:shd w:fill="FFFFFF" w:val="clear"/>
        </w:rPr>
        <w:t xml:space="preserve">, and charges of $111 million related to redundancy and restructuring </w:t>
      </w:r>
      <w:r>
        <w:rPr>
          <w:rFonts w:ascii="Times New Roman;sans-serif" w:hAnsi="Times New Roman;sans-serif"/>
          <w:b w:val="false"/>
          <w:color w:val="000000"/>
          <w:sz w:val="20"/>
        </w:rPr>
        <w:t>partly offset by gains of $298 million related to indirect tax credits. These charges and gains are part of identified items and compare with the full year 2022 which included net impairment charges and reversals of $321 million, net losses of $135 million related to the sale of assets, and provisions for onerous contracts of $62 million.</w:t>
      </w:r>
    </w:p>
    <w:p>
      <w:pPr>
        <w:pStyle w:val="TextBody"/>
        <w:bidi w:val="0"/>
        <w:spacing w:lineRule="auto" w:line="268" w:before="120" w:after="120"/>
        <w:jc w:val="left"/>
        <w:rPr/>
      </w:pPr>
      <w:r>
        <w:rPr>
          <w:rFonts w:ascii="Times New Roman;sans-serif" w:hAnsi="Times New Roman;sans-serif"/>
          <w:b/>
          <w:color w:val="000000"/>
          <w:sz w:val="20"/>
        </w:rPr>
        <w:t xml:space="preserve">Adjusted Earnings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color w:val="000000"/>
          <w:sz w:val="20"/>
        </w:rPr>
        <w:t>Adjusted EBITDA</w:t>
      </w:r>
      <w:r>
        <w:rPr>
          <w:rFonts w:ascii="Times New Roman;sans-serif" w:hAnsi="Times New Roman;sans-serif"/>
          <w:b/>
          <w:color w:val="000000"/>
          <w:sz w:val="13"/>
        </w:rPr>
        <w:t>2</w:t>
      </w:r>
      <w:r>
        <w:rPr>
          <w:color w:val="000000"/>
        </w:rPr>
        <w:t xml:space="preserve"> </w:t>
      </w:r>
      <w:r>
        <w:rPr>
          <w:rFonts w:ascii="Times New Roman;sans-serif" w:hAnsi="Times New Roman;sans-serif"/>
          <w:b w:val="false"/>
          <w:color w:val="000000"/>
          <w:sz w:val="20"/>
        </w:rPr>
        <w:t>were driven by the same factors as the segment earnings and adjusted for identified items.</w:t>
      </w:r>
    </w:p>
    <w:p>
      <w:pPr>
        <w:pStyle w:val="TextBody"/>
        <w:bidi w:val="0"/>
        <w:spacing w:lineRule="auto" w:line="288" w:before="120" w:after="120"/>
        <w:jc w:val="left"/>
        <w:rPr/>
      </w:pPr>
      <w:r>
        <w:rPr>
          <w:rFonts w:ascii="Times New Roman;sans-serif" w:hAnsi="Times New Roman;sans-serif"/>
          <w:b/>
          <w:color w:val="000000"/>
          <w:sz w:val="20"/>
        </w:rPr>
        <w:t xml:space="preserve">Cash flow from operating activities </w:t>
      </w:r>
      <w:r>
        <w:rPr>
          <w:rFonts w:ascii="Times New Roman;sans-serif" w:hAnsi="Times New Roman;sans-serif"/>
          <w:b w:val="false"/>
          <w:color w:val="000000"/>
          <w:sz w:val="20"/>
        </w:rPr>
        <w:t>for the full year 2023 was primarily driven by Adjusted EBITDA, working capital inflows of $873 million, and the timing impact of payments relating to emission certificates and biofuel programmes of $296 million. These inflows were partly offset by tax payments of $744 million, and non-cash cost-of-sales (CCS) adjustments of $221 million.</w:t>
      </w:r>
    </w:p>
    <w:p>
      <w:pPr>
        <w:pStyle w:val="TextBody"/>
        <w:bidi w:val="0"/>
        <w:spacing w:lineRule="auto" w:line="288" w:before="120" w:after="120"/>
        <w:jc w:val="left"/>
        <w:rPr/>
      </w:pPr>
      <w:r>
        <w:rPr>
          <w:rFonts w:ascii="Times New Roman;sans-serif" w:hAnsi="Times New Roman;sans-serif"/>
          <w:b/>
          <w:color w:val="000000"/>
          <w:sz w:val="20"/>
        </w:rPr>
        <w:t>Marketing sales volumes</w:t>
      </w:r>
      <w:r>
        <w:rPr>
          <w:color w:val="000000"/>
        </w:rPr>
        <w:t xml:space="preserve"> </w:t>
      </w:r>
      <w:r>
        <w:rPr>
          <w:rFonts w:ascii="Times New Roman;sans-serif" w:hAnsi="Times New Roman;sans-serif"/>
          <w:b w:val="false"/>
          <w:color w:val="000000"/>
          <w:sz w:val="20"/>
        </w:rPr>
        <w:t>(comprising hydrocarbon sales), compared with the full year 2022, increased mainly due to improved demand in Aviation.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283"/>
        <w:ind w:left="0" w:right="0" w:hanging="272"/>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All earnings amounts are shown post-tax, unless stated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8</w:t>
                      </w:r>
                    </w:p>
                  </w:txbxContent>
                </v:textbox>
                <w10:wrap type="none"/>
              </v:rect>
            </w:pict>
          </mc:Fallback>
        </mc:AlternateContent>
      </w:r>
    </w:p>
    <w:p>
      <w:pPr>
        <w:pStyle w:val="TextBody"/>
        <w:bidi w:val="0"/>
        <w:spacing w:lineRule="auto" w:line="268" w:before="0" w:after="0"/>
        <w:ind w:left="0" w:right="0" w:hanging="272"/>
        <w:jc w:val="left"/>
        <w:rPr/>
      </w:pPr>
      <w:r>
        <w:rPr>
          <w:rFonts w:ascii="Times New Roman;sans-serif" w:hAnsi="Times New Roman;sans-serif"/>
          <w:b w:val="false"/>
          <w:color w:val="000000"/>
          <w:sz w:val="12"/>
        </w:rPr>
        <w:t>2.</w:t>
      </w:r>
      <w:r>
        <w:rPr>
          <w:rFonts w:ascii="Times New Roman;sans-serif" w:hAnsi="Times New Roman;sans-serif"/>
          <w:b w:val="false"/>
          <w:color w:val="000000"/>
          <w:sz w:val="20"/>
        </w:rPr>
        <w:t>Adjusted EBITDA is without taxation.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9</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CHEMICALS AND PRODUCTS</w:t>
      </w:r>
    </w:p>
    <w:tbl>
      <w:tblPr>
        <w:tblW w:w="10205" w:type="dxa"/>
        <w:jc w:val="left"/>
        <w:tblInd w:w="0" w:type="dxa"/>
        <w:tblLayout w:type="fixed"/>
        <w:tblCellMar>
          <w:top w:w="28" w:type="dxa"/>
          <w:left w:w="28" w:type="dxa"/>
          <w:bottom w:w="28" w:type="dxa"/>
          <w:right w:w="28" w:type="dxa"/>
        </w:tblCellMar>
      </w:tblPr>
      <w:tblGrid>
        <w:gridCol w:w="368"/>
        <w:gridCol w:w="325"/>
        <w:gridCol w:w="223"/>
        <w:gridCol w:w="109"/>
        <w:gridCol w:w="109"/>
        <w:gridCol w:w="109"/>
        <w:gridCol w:w="308"/>
        <w:gridCol w:w="308"/>
        <w:gridCol w:w="228"/>
        <w:gridCol w:w="109"/>
        <w:gridCol w:w="109"/>
        <w:gridCol w:w="109"/>
        <w:gridCol w:w="312"/>
        <w:gridCol w:w="304"/>
        <w:gridCol w:w="228"/>
        <w:gridCol w:w="109"/>
        <w:gridCol w:w="109"/>
        <w:gridCol w:w="109"/>
        <w:gridCol w:w="160"/>
        <w:gridCol w:w="160"/>
        <w:gridCol w:w="161"/>
        <w:gridCol w:w="1204"/>
        <w:gridCol w:w="1152"/>
        <w:gridCol w:w="1169"/>
        <w:gridCol w:w="275"/>
        <w:gridCol w:w="275"/>
        <w:gridCol w:w="276"/>
        <w:gridCol w:w="227"/>
        <w:gridCol w:w="227"/>
        <w:gridCol w:w="232"/>
        <w:gridCol w:w="223"/>
        <w:gridCol w:w="223"/>
        <w:gridCol w:w="230"/>
        <w:gridCol w:w="123"/>
        <w:gridCol w:w="123"/>
        <w:gridCol w:w="180"/>
      </w:tblGrid>
      <w:tr>
        <w:trPr/>
        <w:tc>
          <w:tcPr>
            <w:tcW w:w="3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0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Full year</w:t>
            </w:r>
          </w:p>
        </w:tc>
      </w:tr>
      <w:tr>
        <w:trPr/>
        <w:tc>
          <w:tcPr>
            <w:tcW w:w="91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%¹</w:t>
            </w:r>
          </w:p>
        </w:tc>
        <w:tc>
          <w:tcPr>
            <w:tcW w:w="352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Reference</w:t>
            </w:r>
          </w:p>
        </w:tc>
        <w:tc>
          <w:tcPr>
            <w:tcW w:w="6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7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693"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w:t>
            </w:r>
          </w:p>
        </w:tc>
        <w:tc>
          <w:tcPr>
            <w:tcW w:w="223"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228"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228"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3525"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20"/>
              </w:rPr>
              <w:t>Segment earnings</w:t>
            </w:r>
            <w:r>
              <w:rPr>
                <w:rFonts w:ascii="Times New Roman;sans-serif" w:hAnsi="Times New Roman;sans-serif"/>
                <w:b w:val="false"/>
                <w:color w:val="000000"/>
                <w:sz w:val="22"/>
              </w:rPr>
              <w:t>²</w:t>
            </w:r>
          </w:p>
        </w:tc>
        <w:tc>
          <w:tcPr>
            <w:tcW w:w="826"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w:t>
            </w:r>
          </w:p>
        </w:tc>
        <w:tc>
          <w:tcPr>
            <w:tcW w:w="676"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4,515</w:t>
            </w:r>
          </w:p>
        </w:tc>
        <w:tc>
          <w:tcPr>
            <w:tcW w:w="426"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r>
      <w:tr>
        <w:trPr/>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 which: Identified items </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35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Earnings²</w:t>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8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w:t>
            </w:r>
          </w:p>
        </w:tc>
        <w:tc>
          <w:tcPr>
            <w:tcW w:w="42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3"/>
              </w:rPr>
              <w:t>2</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7,710</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8,561</w:t>
            </w:r>
          </w:p>
        </w:tc>
        <w:tc>
          <w:tcPr>
            <w:tcW w:w="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693"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223"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2,379 </w:t>
            </w:r>
          </w:p>
        </w:tc>
        <w:tc>
          <w:tcPr>
            <w:tcW w:w="228"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3,119 </w:t>
            </w:r>
          </w:p>
        </w:tc>
        <w:tc>
          <w:tcPr>
            <w:tcW w:w="228"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3525"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w:t>
            </w:r>
          </w:p>
        </w:tc>
        <w:tc>
          <w:tcPr>
            <w:tcW w:w="826"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86"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w:t>
            </w:r>
          </w:p>
        </w:tc>
        <w:tc>
          <w:tcPr>
            <w:tcW w:w="676"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12,906</w:t>
            </w:r>
          </w:p>
        </w:tc>
        <w:tc>
          <w:tcPr>
            <w:tcW w:w="426"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capital expenditure</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223"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228"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228"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525"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Refinery processing intake (thousand b/d)</w:t>
            </w:r>
          </w:p>
        </w:tc>
        <w:tc>
          <w:tcPr>
            <w:tcW w:w="826"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w:t>
            </w:r>
          </w:p>
        </w:tc>
        <w:tc>
          <w:tcPr>
            <w:tcW w:w="676"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w:t>
            </w:r>
          </w:p>
        </w:tc>
        <w:tc>
          <w:tcPr>
            <w:tcW w:w="426"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Refining &amp; Trading sales volumes (thousand b/d)</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w:t>
            </w:r>
          </w:p>
        </w:tc>
        <w:tc>
          <w:tcPr>
            <w:tcW w:w="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693"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2,588 </w:t>
            </w:r>
          </w:p>
        </w:tc>
        <w:tc>
          <w:tcPr>
            <w:tcW w:w="223"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228"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3,017 </w:t>
            </w:r>
          </w:p>
        </w:tc>
        <w:tc>
          <w:tcPr>
            <w:tcW w:w="228"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525" w:type="dxa"/>
            <w:gridSpan w:val="3"/>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Chemicals sales volumes (thousand tonnes)</w:t>
            </w:r>
          </w:p>
        </w:tc>
        <w:tc>
          <w:tcPr>
            <w:tcW w:w="826" w:type="dxa"/>
            <w:gridSpan w:val="3"/>
            <w:tcBorders>
              <w:top w:val="single" w:sz="2" w:space="0" w:color="000000"/>
              <w:bottom w:val="single" w:sz="2"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11,245</w:t>
            </w:r>
          </w:p>
        </w:tc>
        <w:tc>
          <w:tcPr>
            <w:tcW w:w="676" w:type="dxa"/>
            <w:gridSpan w:val="3"/>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12,281</w:t>
            </w:r>
          </w:p>
        </w:tc>
        <w:tc>
          <w:tcPr>
            <w:tcW w:w="426" w:type="dxa"/>
            <w:gridSpan w:val="3"/>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bl>
    <w:p>
      <w:pPr>
        <w:pStyle w:val="TextBody"/>
        <w:bidi w:val="0"/>
        <w:spacing w:lineRule="auto" w:line="288" w:before="0" w:after="0"/>
        <w:ind w:left="0" w:right="0" w:hanging="142"/>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Q4 on Q3 change</w:t>
      </w:r>
    </w:p>
    <w:p>
      <w:pPr>
        <w:pStyle w:val="TextBody"/>
        <w:bidi w:val="0"/>
        <w:spacing w:lineRule="auto" w:line="288" w:before="0" w:after="0"/>
        <w:ind w:left="0" w:right="0" w:hanging="142"/>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Segment earnings, Adjusted Earnings and Adjusted EBITDA are presented on a CCS basis (see Note 2). </w:t>
      </w:r>
    </w:p>
    <w:p>
      <w:pPr>
        <w:pStyle w:val="TextBody"/>
        <w:bidi w:val="0"/>
        <w:spacing w:lineRule="auto" w:line="268" w:before="120" w:after="1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Chemicals and Products segment includes chemicals manufacturing plants with their own marketing network, and refineries which turn crude oil and other feedstocks into a range of oil products which are moved and marketed around the world for domestic, industrial and transport use. The segment also includes the pipeline business, trading and optimisation of crude oil, oil products and petrochemicals, and Oil Sands activities (the extraction of bitumen from mined oil sands and its conversion into synthetic crude oil). </w:t>
      </w:r>
    </w:p>
    <w:p>
      <w:pPr>
        <w:pStyle w:val="TextBody"/>
        <w:bidi w:val="0"/>
        <w:spacing w:lineRule="auto" w:line="268" w:before="120" w:after="120"/>
        <w:jc w:val="left"/>
        <w:rPr/>
      </w:pPr>
      <w:r>
        <w:rPr>
          <w:rFonts w:ascii="Times New Roman;sans-serif" w:hAnsi="Times New Roman;sans-serif"/>
          <w:b/>
          <w:color w:val="000000"/>
          <w:sz w:val="20"/>
          <w:shd w:fill="FFFFFF" w:val="clear"/>
        </w:rPr>
        <w:t>Quarter Analysis</w:t>
      </w:r>
      <w:r>
        <w:rPr>
          <w:rFonts w:ascii="Times New Roman;sans-serif" w:hAnsi="Times New Roman;sans-serif"/>
          <w:b/>
          <w:color w:val="000000"/>
          <w:sz w:val="13"/>
        </w:rPr>
        <w:t>1</w:t>
      </w:r>
    </w:p>
    <w:p>
      <w:pPr>
        <w:pStyle w:val="TextBody"/>
        <w:bidi w:val="0"/>
        <w:spacing w:lineRule="auto" w:line="268" w:before="0" w:after="0"/>
        <w:jc w:val="left"/>
        <w:rPr/>
      </w:pPr>
      <w:r>
        <w:rPr>
          <w:rFonts w:ascii="Times New Roman;sans-serif" w:hAnsi="Times New Roman;sans-serif"/>
          <w:b/>
          <w:color w:val="000000"/>
          <w:sz w:val="20"/>
        </w:rPr>
        <w:t>Segment earnings</w:t>
      </w:r>
      <w:r>
        <w:rPr>
          <w:rFonts w:ascii="Times New Roman;sans-serif" w:hAnsi="Times New Roman;sans-serif"/>
          <w:b w:val="false"/>
          <w:color w:val="000000"/>
          <w:sz w:val="20"/>
        </w:rPr>
        <w:t>, compared with the third quarter 2023, reflected lower Products margins (decrease of $1,193 million) mainly driven by lower refining margins due to lower global product demand and lower margins from trading and optimisation. Segment earnings also reflected lower Chemicals margins (decrease of $150 million) including the impact of continuing global oversupply as well as weak demand and lower income from joint ventures and associates. In addition, the fourth quarter 2023 reflected higher operating expenses (increase of $76 million). These were partly offset by favourable deferred tax movements (increase of $123 million).</w:t>
      </w:r>
    </w:p>
    <w:p>
      <w:pPr>
        <w:pStyle w:val="TextBody"/>
        <w:bidi w:val="0"/>
        <w:spacing w:lineRule="auto" w:line="288" w:before="120" w:after="120"/>
        <w:jc w:val="left"/>
        <w:rPr/>
      </w:pPr>
      <w:r>
        <w:rPr>
          <w:rFonts w:ascii="Times New Roman;sans-serif" w:hAnsi="Times New Roman;sans-serif"/>
          <w:b w:val="false"/>
          <w:color w:val="000000"/>
          <w:sz w:val="20"/>
        </w:rPr>
        <w:t>Fourth quarter 2023</w:t>
      </w:r>
      <w:r>
        <w:rPr>
          <w:color w:val="000000"/>
        </w:rPr>
        <w:t xml:space="preserve"> </w:t>
      </w:r>
      <w:r>
        <w:rPr>
          <w:rFonts w:ascii="Times New Roman;sans-serif" w:hAnsi="Times New Roman;sans-serif"/>
          <w:b w:val="false"/>
          <w:color w:val="000000"/>
          <w:sz w:val="20"/>
        </w:rPr>
        <w:t xml:space="preserve">segment earnings also included net impairment charges and reversals of $1,977 million mainly relating to the Chemicals assets in Singapore, and </w:t>
      </w:r>
      <w:r>
        <w:rPr>
          <w:rFonts w:ascii="Times New Roman;sans-serif" w:hAnsi="Times New Roman;sans-serif"/>
          <w:b w:val="false"/>
          <w:color w:val="000000"/>
          <w:sz w:val="20"/>
          <w:shd w:fill="FFFFFF" w:val="clear"/>
        </w:rPr>
        <w:t>charges of $78 million related to redundancy and restructuring</w:t>
      </w:r>
      <w:r>
        <w:rPr>
          <w:color w:val="000000"/>
        </w:rPr>
        <w:t xml:space="preserve"> </w:t>
      </w:r>
      <w:r>
        <w:rPr>
          <w:rFonts w:ascii="Times New Roman;sans-serif" w:hAnsi="Times New Roman;sans-serif"/>
          <w:b w:val="false"/>
          <w:color w:val="000000"/>
          <w:sz w:val="20"/>
        </w:rPr>
        <w:t>partly offset by favourable movements of $130 million due to the fair value accounting of commodity derivatives. These charges and gains are part of identified items, and compare with the third quarter 2023 which included net impairment charges and reversals of $79 million, legal provisions of $74 million, and unfavourable movements of $53 million due to the fair value accounting of commodity derivatives.</w:t>
      </w:r>
    </w:p>
    <w:p>
      <w:pPr>
        <w:pStyle w:val="TextBody"/>
        <w:bidi w:val="0"/>
        <w:spacing w:lineRule="auto" w:line="268" w:before="120" w:after="120"/>
        <w:jc w:val="left"/>
        <w:rPr/>
      </w:pPr>
      <w:r>
        <w:rPr>
          <w:rFonts w:ascii="Times New Roman;sans-serif" w:hAnsi="Times New Roman;sans-serif"/>
          <w:b/>
          <w:color w:val="000000"/>
          <w:sz w:val="20"/>
        </w:rPr>
        <w:t xml:space="preserve">Adjusted Earnings </w:t>
      </w:r>
      <w:r>
        <w:rPr>
          <w:rFonts w:ascii="Times New Roman;sans-serif" w:hAnsi="Times New Roman;sans-serif"/>
          <w:b w:val="false"/>
          <w:color w:val="000000"/>
          <w:sz w:val="20"/>
        </w:rPr>
        <w:t xml:space="preserve">and </w:t>
      </w:r>
      <w:r>
        <w:rPr>
          <w:rFonts w:ascii="Times New Roman;sans-serif" w:hAnsi="Times New Roman;sans-serif"/>
          <w:b/>
          <w:color w:val="000000"/>
          <w:sz w:val="20"/>
        </w:rPr>
        <w:t>Adjusted EBITDA</w:t>
      </w:r>
      <w:r>
        <w:rPr>
          <w:rFonts w:ascii="Times New Roman;sans-serif" w:hAnsi="Times New Roman;sans-serif"/>
          <w:b/>
          <w:color w:val="000000"/>
          <w:sz w:val="13"/>
        </w:rPr>
        <w:t>2</w:t>
      </w:r>
      <w:r>
        <w:rPr>
          <w:color w:val="000000"/>
        </w:rPr>
        <w:t xml:space="preserve"> </w:t>
      </w:r>
      <w:r>
        <w:rPr>
          <w:rFonts w:ascii="Times New Roman;sans-serif" w:hAnsi="Times New Roman;sans-serif"/>
          <w:b w:val="false"/>
          <w:color w:val="000000"/>
          <w:sz w:val="20"/>
        </w:rPr>
        <w:t>were driven by the same factors as the segment earnings and adjusted for identified items. In the fourth quarter 2023, Chemicals had negative Adjusted Earnings of $492 million and Products had positive Adjusted Earnings of $576 million.</w:t>
      </w:r>
    </w:p>
    <w:p>
      <w:pPr>
        <w:pStyle w:val="TextBody"/>
        <w:bidi w:val="0"/>
        <w:spacing w:lineRule="auto" w:line="288" w:before="120" w:after="120"/>
        <w:jc w:val="left"/>
        <w:rPr/>
      </w:pPr>
      <w:r>
        <w:rPr>
          <w:rFonts w:ascii="Times New Roman;sans-serif" w:hAnsi="Times New Roman;sans-serif"/>
          <w:b/>
          <w:color w:val="000000"/>
          <w:sz w:val="20"/>
        </w:rPr>
        <w:t>Cash flow from operating activities</w:t>
      </w:r>
      <w:r>
        <w:rPr>
          <w:color w:val="000000"/>
        </w:rPr>
        <w:t xml:space="preserve"> </w:t>
      </w:r>
      <w:r>
        <w:rPr>
          <w:rFonts w:ascii="Times New Roman;sans-serif" w:hAnsi="Times New Roman;sans-serif"/>
          <w:b w:val="false"/>
          <w:color w:val="000000"/>
          <w:sz w:val="20"/>
        </w:rPr>
        <w:t xml:space="preserve">for the quarter was primarily driven by working capital inflows of $1,353 million, Adjusted EBITDA, cash inflows relating to commodity derivatives of $294 million, and dividends (net of profits) from joint ventures and associates of $222 million. These inflows were partly offset by non-cash cost-of-sales (CCS) adjustments of $1,028 million, the timing impact of payments relating to emission certificates and biofuel programmes of $970 million, and tax payments of $273 million. </w:t>
      </w:r>
    </w:p>
    <w:p>
      <w:pPr>
        <w:pStyle w:val="TextBody"/>
        <w:bidi w:val="0"/>
        <w:spacing w:lineRule="auto" w:line="288" w:before="120" w:after="120"/>
        <w:jc w:val="left"/>
        <w:rPr/>
      </w:pPr>
      <w:r>
        <w:rPr>
          <w:rFonts w:ascii="Times New Roman;sans-serif" w:hAnsi="Times New Roman;sans-serif"/>
          <w:b/>
          <w:color w:val="000000"/>
          <w:sz w:val="20"/>
        </w:rPr>
        <w:t>Chemicals manufacturing plant utilisation</w:t>
      </w:r>
      <w:r>
        <w:rPr>
          <w:color w:val="000000"/>
        </w:rPr>
        <w:t xml:space="preserve"> </w:t>
      </w:r>
      <w:r>
        <w:rPr>
          <w:rFonts w:ascii="Times New Roman;sans-serif" w:hAnsi="Times New Roman;sans-serif"/>
          <w:b w:val="false"/>
          <w:color w:val="000000"/>
          <w:sz w:val="20"/>
        </w:rPr>
        <w:t>was 62% compared with 70% in the third quarter 2023, due to higher planned and unplanned maintenance in North America and economic optimisation.</w:t>
      </w:r>
    </w:p>
    <w:p>
      <w:pPr>
        <w:pStyle w:val="TextBody"/>
        <w:bidi w:val="0"/>
        <w:spacing w:lineRule="auto" w:line="288" w:before="120" w:after="120"/>
        <w:jc w:val="left"/>
        <w:rPr/>
      </w:pPr>
      <w:r>
        <w:rPr>
          <w:rFonts w:ascii="Times New Roman;sans-serif" w:hAnsi="Times New Roman;sans-serif"/>
          <w:b/>
          <w:color w:val="000000"/>
          <w:sz w:val="20"/>
        </w:rPr>
        <w:t>Refinery utilisation</w:t>
      </w:r>
      <w:r>
        <w:rPr>
          <w:color w:val="000000"/>
        </w:rPr>
        <w:t xml:space="preserve"> </w:t>
      </w:r>
      <w:r>
        <w:rPr>
          <w:rFonts w:ascii="Times New Roman;sans-serif" w:hAnsi="Times New Roman;sans-serif"/>
          <w:b w:val="false"/>
          <w:color w:val="000000"/>
          <w:sz w:val="20"/>
        </w:rPr>
        <w:t>was 81% compared with 84% in the third quarter 2023, due to planned maintenance in North America.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120"/>
        <w:jc w:val="left"/>
        <w:rPr/>
      </w:pPr>
      <w:r>
        <w:rPr>
          <w:rFonts w:ascii="Times New Roman;sans-serif" w:hAnsi="Times New Roman;sans-serif"/>
          <w:b/>
          <w:color w:val="000000"/>
          <w:sz w:val="20"/>
        </w:rPr>
        <w:t>Full Year Analysis</w:t>
      </w:r>
      <w:r>
        <w:rPr>
          <w:rFonts w:ascii="Times New Roman;sans-serif" w:hAnsi="Times New Roman;sans-serif"/>
          <w:b/>
          <w:color w:val="000000"/>
          <w:sz w:val="13"/>
        </w:rPr>
        <w:t>1</w:t>
      </w:r>
    </w:p>
    <w:p>
      <w:pPr>
        <w:pStyle w:val="TextBody"/>
        <w:bidi w:val="0"/>
        <w:spacing w:lineRule="auto" w:line="268" w:before="120" w:after="120"/>
        <w:jc w:val="left"/>
        <w:rPr/>
      </w:pPr>
      <w:r>
        <w:rPr>
          <w:rFonts w:ascii="Times New Roman;sans-serif" w:hAnsi="Times New Roman;sans-serif"/>
          <w:b/>
          <w:color w:val="000000"/>
          <w:sz w:val="20"/>
        </w:rPr>
        <w:t>Segment earnings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compared with the full year 2022, reflected lower Products margins (decrease of $1,528 million) mainly driven by lower refining margins partly offset by higher margins from trading and optimisation. The segment earnings also reflected higher depreciation charges (increase of $546 million) due to start-up of operations at Shell Polymers Monaca in the USA. These were partly offset by higher Chemicals margins (increase of $612 million).</w:t>
      </w:r>
    </w:p>
    <w:p>
      <w:pPr>
        <w:pStyle w:val="TextBody"/>
        <w:bidi w:val="0"/>
        <w:spacing w:lineRule="auto" w:line="288" w:before="120" w:after="120"/>
        <w:jc w:val="left"/>
        <w:rPr/>
      </w:pPr>
      <w:r>
        <w:rPr>
          <w:rFonts w:ascii="Times New Roman;sans-serif" w:hAnsi="Times New Roman;sans-serif"/>
          <w:b w:val="false"/>
          <w:color w:val="000000"/>
          <w:sz w:val="20"/>
          <w:shd w:fill="FFFFFF" w:val="clear"/>
        </w:rPr>
        <w:t>Full year 2023 segment earnings also included net impairment charges and reversals of $2,204 million mainly relating to the Chemicals assets in Singapore, and</w:t>
      </w:r>
      <w:r>
        <w:rPr>
          <w:color w:val="000000"/>
        </w:rPr>
        <w:t xml:space="preserve"> </w:t>
      </w:r>
      <w:r>
        <w:rPr>
          <w:rFonts w:ascii="Times New Roman;sans-serif" w:hAnsi="Times New Roman;sans-serif"/>
          <w:b w:val="false"/>
          <w:color w:val="000000"/>
          <w:sz w:val="20"/>
          <w:shd w:fill="FFFFFF" w:val="clear"/>
        </w:rPr>
        <w:t>charges of $84 million related to redundancy and restructuring</w:t>
      </w:r>
      <w:r>
        <w:rPr>
          <w:color w:val="000000"/>
        </w:rPr>
        <w:t xml:space="preserve"> </w:t>
      </w:r>
      <w:r>
        <w:rPr>
          <w:rFonts w:ascii="Times New Roman;sans-serif" w:hAnsi="Times New Roman;sans-serif"/>
          <w:b w:val="false"/>
          <w:color w:val="000000"/>
          <w:sz w:val="20"/>
        </w:rPr>
        <w:t xml:space="preserve">partly offset by favourable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10</w:t>
                      </w:r>
                    </w:p>
                  </w:txbxContent>
                </v:textbox>
                <w10:wrap type="none"/>
              </v:rect>
            </w:pict>
          </mc:Fallback>
        </mc:AlternateConten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movements of $213 million due to the fair value accounting of commodity derivatives. These charges and gains are part of identified items, and compare with the full year 2022 which included net impairment charges and reversals of $226 million, legal provisions of $149 million, unfavourable movements of $147 million related to the fair value accounting of commodity derivatives, tax charges relating to the EU solidarity contribution of $74 million partly offset by gains of $223 million related to the sale of assets, and gains of $104 million related to the remeasurement of redundancy and restructuring costs.</w:t>
      </w:r>
    </w:p>
    <w:p>
      <w:pPr>
        <w:pStyle w:val="TextBody"/>
        <w:bidi w:val="0"/>
        <w:spacing w:lineRule="auto" w:line="268" w:before="120" w:after="120"/>
        <w:jc w:val="left"/>
        <w:rPr/>
      </w:pPr>
      <w:r>
        <w:rPr>
          <w:rFonts w:ascii="Times New Roman;sans-serif" w:hAnsi="Times New Roman;sans-serif"/>
          <w:b/>
          <w:color w:val="000000"/>
          <w:sz w:val="20"/>
        </w:rPr>
        <w:t xml:space="preserve">Adjusted Earnings </w:t>
      </w:r>
      <w:r>
        <w:rPr>
          <w:rFonts w:ascii="Times New Roman;sans-serif" w:hAnsi="Times New Roman;sans-serif"/>
          <w:b w:val="false"/>
          <w:color w:val="000000"/>
          <w:sz w:val="20"/>
        </w:rPr>
        <w:t xml:space="preserve">and </w:t>
      </w:r>
      <w:r>
        <w:rPr>
          <w:rFonts w:ascii="Times New Roman;sans-serif" w:hAnsi="Times New Roman;sans-serif"/>
          <w:b/>
          <w:color w:val="000000"/>
          <w:sz w:val="20"/>
        </w:rPr>
        <w:t>Adjusted EBITDA</w:t>
      </w:r>
      <w:r>
        <w:rPr>
          <w:rFonts w:ascii="Times New Roman;sans-serif" w:hAnsi="Times New Roman;sans-serif"/>
          <w:b/>
          <w:color w:val="000000"/>
          <w:sz w:val="13"/>
        </w:rPr>
        <w:t>2</w:t>
      </w:r>
      <w:r>
        <w:rPr>
          <w:color w:val="000000"/>
        </w:rPr>
        <w:t xml:space="preserve"> </w:t>
      </w:r>
      <w:r>
        <w:rPr>
          <w:rFonts w:ascii="Times New Roman;sans-serif" w:hAnsi="Times New Roman;sans-serif"/>
          <w:b w:val="false"/>
          <w:color w:val="000000"/>
          <w:sz w:val="20"/>
        </w:rPr>
        <w:t>were driven by the same factors as the segment earnings and adjusted for identified items. In the full year 2023, Chemicals had negative Adjusted Earnings of $1,622 million and Products had positive Adjusted Earnings of $5,313 million.</w:t>
      </w:r>
    </w:p>
    <w:p>
      <w:pPr>
        <w:pStyle w:val="TextBody"/>
        <w:bidi w:val="0"/>
        <w:spacing w:lineRule="auto" w:line="288" w:before="120" w:after="120"/>
        <w:jc w:val="left"/>
        <w:rPr/>
      </w:pPr>
      <w:r>
        <w:rPr>
          <w:rFonts w:ascii="Times New Roman;sans-serif" w:hAnsi="Times New Roman;sans-serif"/>
          <w:b/>
          <w:color w:val="000000"/>
          <w:sz w:val="20"/>
        </w:rPr>
        <w:t xml:space="preserve">Cash flow from operating activities </w:t>
      </w:r>
      <w:r>
        <w:rPr>
          <w:rFonts w:ascii="Times New Roman;sans-serif" w:hAnsi="Times New Roman;sans-serif"/>
          <w:b w:val="false"/>
          <w:color w:val="000000"/>
          <w:sz w:val="20"/>
        </w:rPr>
        <w:t>for the full year 2023 was primarily driven by Adjusted EBITDA, working capital inflows of $609 million, cash inflows relating to commodity derivatives of $529 million, and dividends (net of profits) from joint ventures and associates of $300 million. These inflows were partly offset by the timing impact of payments relating to emission certificates and biofuel programmes of $1,224 million, non-cash cost-of-sales (CCS) adjustments of $627 million, and tax payments of $484 million.</w:t>
      </w:r>
    </w:p>
    <w:p>
      <w:pPr>
        <w:pStyle w:val="TextBody"/>
        <w:bidi w:val="0"/>
        <w:spacing w:lineRule="auto" w:line="288" w:before="120" w:after="120"/>
        <w:jc w:val="left"/>
        <w:rPr/>
      </w:pPr>
      <w:r>
        <w:rPr>
          <w:rFonts w:ascii="Times New Roman;sans-serif" w:hAnsi="Times New Roman;sans-serif"/>
          <w:b/>
          <w:color w:val="000000"/>
          <w:sz w:val="20"/>
        </w:rPr>
        <w:t>Chemicals manufacturing plant utilisation</w:t>
      </w:r>
      <w:r>
        <w:rPr>
          <w:color w:val="000000"/>
        </w:rPr>
        <w:t xml:space="preserve"> </w:t>
      </w:r>
      <w:r>
        <w:rPr>
          <w:rFonts w:ascii="Times New Roman;sans-serif" w:hAnsi="Times New Roman;sans-serif"/>
          <w:b w:val="false"/>
          <w:color w:val="000000"/>
          <w:sz w:val="20"/>
        </w:rPr>
        <w:t>was 68% compared with 79% in the full year 2022, mainly due to planned and unplanned maintenance and economic optimisation during the full year 2023.</w:t>
      </w:r>
    </w:p>
    <w:p>
      <w:pPr>
        <w:pStyle w:val="TextBody"/>
        <w:bidi w:val="0"/>
        <w:spacing w:lineRule="auto" w:line="288" w:before="120" w:after="120"/>
        <w:jc w:val="left"/>
        <w:rPr/>
      </w:pPr>
      <w:r>
        <w:rPr>
          <w:rFonts w:ascii="Times New Roman;sans-serif" w:hAnsi="Times New Roman;sans-serif"/>
          <w:b/>
          <w:color w:val="000000"/>
          <w:sz w:val="20"/>
        </w:rPr>
        <w:t>Refinery utilisation</w:t>
      </w:r>
      <w:r>
        <w:rPr>
          <w:color w:val="000000"/>
        </w:rPr>
        <w:t xml:space="preserve"> </w:t>
      </w:r>
      <w:r>
        <w:rPr>
          <w:rFonts w:ascii="Times New Roman;sans-serif" w:hAnsi="Times New Roman;sans-serif"/>
          <w:b w:val="false"/>
          <w:color w:val="000000"/>
          <w:sz w:val="20"/>
        </w:rPr>
        <w:t xml:space="preserve">was 85% compared with 86% in the full year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283"/>
        <w:ind w:left="0" w:right="0" w:hanging="272"/>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All earnings amounts are shown post-tax, unless stated otherwise.</w:t>
      </w:r>
    </w:p>
    <w:p>
      <w:pPr>
        <w:pStyle w:val="TextBody"/>
        <w:bidi w:val="0"/>
        <w:spacing w:lineRule="auto" w:line="268" w:before="0" w:after="0"/>
        <w:ind w:left="0" w:right="0" w:hanging="272"/>
        <w:jc w:val="left"/>
        <w:rPr/>
      </w:pPr>
      <w:r>
        <w:rPr>
          <w:rFonts w:ascii="Times New Roman;sans-serif" w:hAnsi="Times New Roman;sans-serif"/>
          <w:b w:val="false"/>
          <w:color w:val="000000"/>
          <w:sz w:val="12"/>
        </w:rPr>
        <w:t>2.</w:t>
      </w:r>
      <w:r>
        <w:rPr>
          <w:rFonts w:ascii="Times New Roman;sans-serif" w:hAnsi="Times New Roman;sans-serif"/>
          <w:b w:val="false"/>
          <w:color w:val="000000"/>
          <w:sz w:val="20"/>
        </w:rPr>
        <w:t>Adjusted EBITDA is without taxation.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11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RENEWABLES AND ENERGY SOLUTIONS</w:t>
      </w:r>
    </w:p>
    <w:tbl>
      <w:tblPr>
        <w:tblW w:w="10205" w:type="dxa"/>
        <w:jc w:val="left"/>
        <w:tblInd w:w="0" w:type="dxa"/>
        <w:tblLayout w:type="fixed"/>
        <w:tblCellMar>
          <w:top w:w="28" w:type="dxa"/>
          <w:left w:w="28" w:type="dxa"/>
          <w:bottom w:w="28" w:type="dxa"/>
          <w:right w:w="28" w:type="dxa"/>
        </w:tblCellMar>
      </w:tblPr>
      <w:tblGrid>
        <w:gridCol w:w="372"/>
        <w:gridCol w:w="311"/>
        <w:gridCol w:w="210"/>
        <w:gridCol w:w="109"/>
        <w:gridCol w:w="109"/>
        <w:gridCol w:w="109"/>
        <w:gridCol w:w="244"/>
        <w:gridCol w:w="236"/>
        <w:gridCol w:w="215"/>
        <w:gridCol w:w="109"/>
        <w:gridCol w:w="109"/>
        <w:gridCol w:w="109"/>
        <w:gridCol w:w="308"/>
        <w:gridCol w:w="308"/>
        <w:gridCol w:w="215"/>
        <w:gridCol w:w="109"/>
        <w:gridCol w:w="109"/>
        <w:gridCol w:w="109"/>
        <w:gridCol w:w="193"/>
        <w:gridCol w:w="193"/>
        <w:gridCol w:w="200"/>
        <w:gridCol w:w="1235"/>
        <w:gridCol w:w="1163"/>
        <w:gridCol w:w="1179"/>
        <w:gridCol w:w="275"/>
        <w:gridCol w:w="275"/>
        <w:gridCol w:w="276"/>
        <w:gridCol w:w="189"/>
        <w:gridCol w:w="189"/>
        <w:gridCol w:w="193"/>
        <w:gridCol w:w="221"/>
        <w:gridCol w:w="221"/>
        <w:gridCol w:w="226"/>
        <w:gridCol w:w="167"/>
        <w:gridCol w:w="167"/>
        <w:gridCol w:w="243"/>
      </w:tblGrid>
      <w:tr>
        <w:trPr/>
        <w:tc>
          <w:tcPr>
            <w:tcW w:w="37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39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3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Full year</w:t>
            </w:r>
          </w:p>
        </w:tc>
      </w:tr>
      <w:tr>
        <w:trPr/>
        <w:tc>
          <w:tcPr>
            <w:tcW w:w="89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%¹</w:t>
            </w:r>
          </w:p>
        </w:tc>
        <w:tc>
          <w:tcPr>
            <w:tcW w:w="357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Reference</w:t>
            </w:r>
          </w:p>
        </w:tc>
        <w:tc>
          <w:tcPr>
            <w:tcW w:w="57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6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57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683"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210"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15"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4,673 </w:t>
            </w:r>
          </w:p>
        </w:tc>
        <w:tc>
          <w:tcPr>
            <w:tcW w:w="215"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3577"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20"/>
              </w:rPr>
              <w:t>Segment earnings</w:t>
            </w:r>
            <w:r>
              <w:rPr>
                <w:rFonts w:ascii="Times New Roman;sans-serif" w:hAnsi="Times New Roman;sans-serif"/>
                <w:b w:val="false"/>
                <w:color w:val="000000"/>
                <w:sz w:val="13"/>
              </w:rPr>
              <w:t>2</w:t>
            </w:r>
          </w:p>
        </w:tc>
        <w:tc>
          <w:tcPr>
            <w:tcW w:w="826"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w:t>
            </w:r>
          </w:p>
        </w:tc>
        <w:tc>
          <w:tcPr>
            <w:tcW w:w="668"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w:t>
            </w:r>
          </w:p>
        </w:tc>
        <w:tc>
          <w:tcPr>
            <w:tcW w:w="577"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w:t>
            </w:r>
          </w:p>
        </w:tc>
      </w:tr>
      <w:tr>
        <w:trPr/>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 Identified items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w:t>
            </w:r>
          </w:p>
        </w:tc>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w:t>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3577" w:type="dxa"/>
            <w:gridSpan w:val="3"/>
            <w:tcBorders/>
            <w:shd w:fill="CFF0FC"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20"/>
              </w:rPr>
              <w:t>Adjusted Earnings</w:t>
            </w:r>
            <w:r>
              <w:rPr>
                <w:rFonts w:ascii="Times New Roman;sans-serif" w:hAnsi="Times New Roman;sans-serif"/>
                <w:b w:val="false"/>
                <w:color w:val="000000"/>
                <w:sz w:val="13"/>
              </w:rPr>
              <w:t>2</w:t>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5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w:t>
            </w:r>
          </w:p>
        </w:tc>
        <w:tc>
          <w:tcPr>
            <w:tcW w:w="6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w:t>
            </w:r>
          </w:p>
        </w:tc>
        <w:tc>
          <w:tcPr>
            <w:tcW w:w="57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3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3"/>
              </w:rPr>
              <w:t>2</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w:t>
            </w:r>
          </w:p>
        </w:tc>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w:t>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683"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w:t>
            </w:r>
          </w:p>
        </w:tc>
        <w:tc>
          <w:tcPr>
            <w:tcW w:w="210"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15"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2,674 </w:t>
            </w:r>
          </w:p>
        </w:tc>
        <w:tc>
          <w:tcPr>
            <w:tcW w:w="215"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-3655</w:t>
            </w:r>
          </w:p>
        </w:tc>
        <w:tc>
          <w:tcPr>
            <w:tcW w:w="3577"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w:t>
            </w:r>
          </w:p>
        </w:tc>
        <w:tc>
          <w:tcPr>
            <w:tcW w:w="826"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571"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w:t>
            </w:r>
          </w:p>
        </w:tc>
        <w:tc>
          <w:tcPr>
            <w:tcW w:w="668"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(6,394)</w:t>
            </w:r>
          </w:p>
        </w:tc>
        <w:tc>
          <w:tcPr>
            <w:tcW w:w="577"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c>
      </w:tr>
      <w:tr>
        <w:trPr/>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capital expenditure</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w:t>
            </w:r>
          </w:p>
        </w:tc>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w:t>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10"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15"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15"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577"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External power sales (terawatt hours)</w:t>
            </w:r>
            <w:r>
              <w:rPr>
                <w:rFonts w:ascii="Times New Roman;sans-serif" w:hAnsi="Times New Roman;sans-serif"/>
                <w:b w:val="false"/>
                <w:color w:val="000000"/>
                <w:sz w:val="13"/>
              </w:rPr>
              <w:t>3</w:t>
            </w:r>
          </w:p>
        </w:tc>
        <w:tc>
          <w:tcPr>
            <w:tcW w:w="826"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668"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577"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683"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10"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15"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215"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577"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 of pipeline gas to end-use customers (terawatt hours)</w:t>
            </w:r>
            <w:r>
              <w:rPr>
                <w:rFonts w:ascii="Times New Roman;sans-serif" w:hAnsi="Times New Roman;sans-serif"/>
                <w:b w:val="false"/>
                <w:color w:val="000000"/>
                <w:sz w:val="13"/>
              </w:rPr>
              <w:t>4</w:t>
            </w:r>
          </w:p>
        </w:tc>
        <w:tc>
          <w:tcPr>
            <w:tcW w:w="826"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w:t>
            </w:r>
          </w:p>
        </w:tc>
        <w:tc>
          <w:tcPr>
            <w:tcW w:w="668"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w:t>
            </w:r>
          </w:p>
        </w:tc>
        <w:tc>
          <w:tcPr>
            <w:tcW w:w="577"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bl>
    <w:p>
      <w:pPr>
        <w:pStyle w:val="TextBody"/>
        <w:bidi w:val="0"/>
        <w:spacing w:lineRule="auto" w:line="288" w:before="0" w:after="0"/>
        <w:ind w:left="0" w:right="0" w:hanging="142"/>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Q4 on Q3 change</w:t>
      </w:r>
    </w:p>
    <w:p>
      <w:pPr>
        <w:pStyle w:val="TextBody"/>
        <w:bidi w:val="0"/>
        <w:spacing w:lineRule="auto" w:line="288" w:before="0" w:after="0"/>
        <w:ind w:left="0" w:right="0" w:hanging="142"/>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Segment earnings, Adjusted Earnings and Adjusted EBITDA are presented on a CCS basis (see Note 2). </w:t>
      </w:r>
    </w:p>
    <w:p>
      <w:pPr>
        <w:pStyle w:val="TextBody"/>
        <w:bidi w:val="0"/>
        <w:spacing w:lineRule="auto" w:line="288" w:before="0" w:after="0"/>
        <w:ind w:left="0" w:right="0" w:hanging="142"/>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Physical power sales to third parties; excluding financial trades and physical trade with brokers, investors, financial institutions, trading platforms, and wholesale traders.</w:t>
      </w:r>
      <w:r>
        <w:rPr>
          <w:color w:val="000000"/>
        </w:rPr>
        <w:t xml:space="preserve"> </w:t>
      </w:r>
    </w:p>
    <w:p>
      <w:pPr>
        <w:pStyle w:val="TextBody"/>
        <w:bidi w:val="0"/>
        <w:spacing w:lineRule="auto" w:line="288" w:before="0" w:after="0"/>
        <w:ind w:left="0" w:right="0" w:hanging="142"/>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Physical natural gas sales to third parties; excluding financial trades and physical trade with brokers, investors, financial institutions, trading platforms, and wholesale traders. Excluding sales of natural gas by other segments and LNG sales.</w:t>
      </w:r>
    </w:p>
    <w:p>
      <w:pPr>
        <w:pStyle w:val="TextBody"/>
        <w:bidi w:val="0"/>
        <w:spacing w:lineRule="auto" w:line="26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Renewables and Energy Solutions includes activities such as renewable power generation, the marketing and trading and optimisation of power and pipeline gas, as well as carbon credits, and digitally enabled customer solutions. It also includes the production and marketing of hydrogen, development of commercial carbon capture and storage hubs, investment in nature-based projects that avoid or reduce carbon emissions, and Shell Ventures, which invests in companies that work to accelerate the energy and mobility transformation. </w:t>
      </w:r>
    </w:p>
    <w:p>
      <w:pPr>
        <w:pStyle w:val="TextBody"/>
        <w:bidi w:val="0"/>
        <w:spacing w:lineRule="auto" w:line="276" w:before="0" w:after="120"/>
        <w:jc w:val="left"/>
        <w:rPr/>
      </w:pPr>
      <w:r>
        <w:rPr>
          <w:rFonts w:ascii="Times New Roman;sans-serif" w:hAnsi="Times New Roman;sans-serif"/>
          <w:b/>
          <w:color w:val="000000"/>
          <w:sz w:val="20"/>
        </w:rPr>
        <w:t>Quarter Analysis</w:t>
      </w:r>
      <w:r>
        <w:rPr>
          <w:rFonts w:ascii="Times New Roman;sans-serif" w:hAnsi="Times New Roman;sans-serif"/>
          <w:b/>
          <w:color w:val="000000"/>
          <w:sz w:val="13"/>
        </w:rPr>
        <w:t>1</w:t>
      </w:r>
    </w:p>
    <w:p>
      <w:pPr>
        <w:pStyle w:val="TextBody"/>
        <w:bidi w:val="0"/>
        <w:spacing w:lineRule="auto" w:line="276" w:before="0" w:after="0"/>
        <w:jc w:val="left"/>
        <w:rPr/>
      </w:pPr>
      <w:r>
        <w:rPr>
          <w:rFonts w:ascii="Times New Roman;sans-serif" w:hAnsi="Times New Roman;sans-serif"/>
          <w:b/>
          <w:color w:val="000000"/>
          <w:sz w:val="20"/>
        </w:rPr>
        <w:t>Segment earnings</w:t>
      </w:r>
      <w:r>
        <w:rPr>
          <w:rFonts w:ascii="Times New Roman;sans-serif" w:hAnsi="Times New Roman;sans-serif"/>
          <w:b w:val="false"/>
          <w:color w:val="000000"/>
          <w:sz w:val="20"/>
        </w:rPr>
        <w:t>, compared with the third quarter 2023, reflected higher margins (increase of $118 million) mainly due to trading and optimisation primarily in Europe and the Americas as a result of market volatility and seasonality, and favourable tax movements ($110 million), partly offset by higher operating expenses (increase of $38 million).</w:t>
      </w:r>
    </w:p>
    <w:p>
      <w:pPr>
        <w:pStyle w:val="TextBody"/>
        <w:bidi w:val="0"/>
        <w:spacing w:lineRule="auto" w:line="268" w:before="120" w:after="120"/>
        <w:jc w:val="left"/>
        <w:rPr/>
      </w:pPr>
      <w:r>
        <w:rPr>
          <w:rFonts w:ascii="Times New Roman;sans-serif" w:hAnsi="Times New Roman;sans-serif"/>
          <w:b w:val="false"/>
          <w:color w:val="000000"/>
          <w:sz w:val="20"/>
        </w:rPr>
        <w:t>Fourth quarter 2023</w:t>
      </w:r>
      <w:r>
        <w:rPr>
          <w:color w:val="000000"/>
        </w:rPr>
        <w:t xml:space="preserve"> </w:t>
      </w:r>
      <w:r>
        <w:rPr>
          <w:rFonts w:ascii="Times New Roman;sans-serif" w:hAnsi="Times New Roman;sans-serif"/>
          <w:b w:val="false"/>
          <w:color w:val="000000"/>
          <w:sz w:val="20"/>
        </w:rPr>
        <w:t>segment earnings also included impairment charges of $551 million, partly offset by favourable movements of $125 million due to the fair value accounting of commodity derivatives. As part of Shell's normal business, commodity derivative hedge contracts are entered into for mitigation of economic exposures on future purchases, sales and inventory. As these commodity derivatives are measured at fair value, this creates an accounting mismatch over periods. These charges and favourable movements are part of identified items and compare with the third quarter 2023 which included favourable movements of $506 million due to the fair value accounting of commodity derivatives.</w:t>
      </w:r>
    </w:p>
    <w:p>
      <w:pPr>
        <w:pStyle w:val="TextBody"/>
        <w:bidi w:val="0"/>
        <w:spacing w:lineRule="auto" w:line="268" w:before="0" w:after="0"/>
        <w:jc w:val="left"/>
        <w:rPr/>
      </w:pPr>
      <w:r>
        <w:rPr>
          <w:rFonts w:ascii="Times New Roman;sans-serif" w:hAnsi="Times New Roman;sans-serif"/>
          <w:b/>
          <w:color w:val="000000"/>
          <w:sz w:val="20"/>
        </w:rPr>
        <w:t xml:space="preserve">Adjusted Earnings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color w:val="000000"/>
          <w:sz w:val="20"/>
        </w:rPr>
        <w:t>Adjusted EBITDA</w:t>
      </w:r>
      <w:r>
        <w:rPr>
          <w:rFonts w:ascii="Times New Roman;sans-serif" w:hAnsi="Times New Roman;sans-serif"/>
          <w:b/>
          <w:color w:val="000000"/>
          <w:sz w:val="13"/>
        </w:rPr>
        <w:t>2</w:t>
      </w:r>
      <w:r>
        <w:rPr>
          <w:color w:val="000000"/>
        </w:rPr>
        <w:t xml:space="preserve"> </w:t>
      </w:r>
      <w:r>
        <w:rPr>
          <w:rFonts w:ascii="Times New Roman;sans-serif" w:hAnsi="Times New Roman;sans-serif"/>
          <w:b w:val="false"/>
          <w:color w:val="000000"/>
          <w:sz w:val="20"/>
        </w:rPr>
        <w:t>were driven by the same factors as the segment earnings and adjusted for identified items. Most Renewables and Energy Solutions activities were loss-making in the fourth quarter 2023, more than offset by positive adjusted earnings from trading and optimisation.</w:t>
      </w:r>
    </w:p>
    <w:p>
      <w:pPr>
        <w:pStyle w:val="TextBody"/>
        <w:bidi w:val="0"/>
        <w:spacing w:lineRule="auto" w:line="276" w:before="120" w:after="120"/>
        <w:jc w:val="left"/>
        <w:rPr/>
      </w:pPr>
      <w:r>
        <w:rPr>
          <w:rFonts w:ascii="Times New Roman;sans-serif" w:hAnsi="Times New Roman;sans-serif"/>
          <w:b/>
          <w:color w:val="000000"/>
          <w:sz w:val="20"/>
        </w:rPr>
        <w:t xml:space="preserve">Cash flow from operating activities </w:t>
      </w:r>
      <w:r>
        <w:rPr>
          <w:rFonts w:ascii="Times New Roman;sans-serif" w:hAnsi="Times New Roman;sans-serif"/>
          <w:b w:val="false"/>
          <w:color w:val="000000"/>
          <w:sz w:val="20"/>
        </w:rPr>
        <w:t>for the quarter was primarily driven by working capital outflows of $970 million, tax payments of $413 million, and net cash outflows related to derivatives of $268 million, partly offset by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ans-serif" w:hAnsi="Times New Roman;sans-serif"/>
          <w:b/>
          <w:color w:val="000000"/>
          <w:sz w:val="20"/>
        </w:rPr>
        <w:t>Full Year Analysis</w:t>
      </w:r>
      <w:r>
        <w:rPr>
          <w:rFonts w:ascii="Times New Roman;sans-serif" w:hAnsi="Times New Roman;sans-serif"/>
          <w:b/>
          <w:color w:val="000000"/>
          <w:sz w:val="13"/>
        </w:rPr>
        <w:t>1</w:t>
      </w:r>
    </w:p>
    <w:p>
      <w:pPr>
        <w:pStyle w:val="TextBody"/>
        <w:bidi w:val="0"/>
        <w:spacing w:lineRule="auto" w:line="276" w:before="0" w:after="0"/>
        <w:jc w:val="left"/>
        <w:rPr/>
      </w:pPr>
      <w:r>
        <w:rPr>
          <w:rFonts w:ascii="Times New Roman;sans-serif" w:hAnsi="Times New Roman;sans-serif"/>
          <w:b/>
          <w:color w:val="000000"/>
          <w:sz w:val="20"/>
        </w:rPr>
        <w:t>Segment earnings</w:t>
      </w:r>
      <w:r>
        <w:rPr>
          <w:rFonts w:ascii="Times New Roman;sans-serif" w:hAnsi="Times New Roman;sans-serif"/>
          <w:b w:val="false"/>
          <w:color w:val="000000"/>
          <w:sz w:val="20"/>
        </w:rPr>
        <w:t>, compared with the full year 2022, reflected lower margins (decrease of $684 million) mainly from trading and optimisation due to lower gas and power prices in 2023, unfavourable tax movements ($218 million), and higher operating expenses (increase of $186 million).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Full year 2023 segment earnings also included favourable movements of $2,756 million due to the fair value accounting of commodity derivatives, partly offset by net impairment charges and reversals of $669 million. These favourable movements and charges are part of identified items and compare with the full year 2022 which included unfavourable movements of $2,444 million due to the fair value accounting of commodity derivatives, and impairment charges of $361 million.</w:t>
      </w:r>
    </w:p>
    <w:p>
      <w:pPr>
        <w:pStyle w:val="TextBody"/>
        <w:bidi w:val="0"/>
        <w:spacing w:lineRule="auto" w:line="268" w:before="0" w:after="0"/>
        <w:jc w:val="left"/>
        <w:rPr/>
      </w:pPr>
      <w:r>
        <w:rPr>
          <w:rFonts w:ascii="Times New Roman;sans-serif" w:hAnsi="Times New Roman;sans-serif"/>
          <w:b/>
          <w:color w:val="000000"/>
          <w:sz w:val="20"/>
        </w:rPr>
        <w:t xml:space="preserve">Adjusted Earnings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color w:val="000000"/>
          <w:sz w:val="20"/>
        </w:rPr>
        <w:t>Adjusted EBITDA</w:t>
      </w:r>
      <w:r>
        <w:rPr>
          <w:rFonts w:ascii="Times New Roman;sans-serif" w:hAnsi="Times New Roman;sans-serif"/>
          <w:b/>
          <w:color w:val="000000"/>
          <w:sz w:val="13"/>
        </w:rPr>
        <w:t>2</w:t>
      </w:r>
      <w:r>
        <w:rPr>
          <w:color w:val="000000"/>
        </w:rPr>
        <w:t xml:space="preserve"> </w:t>
      </w:r>
      <w:r>
        <w:rPr>
          <w:rFonts w:ascii="Times New Roman;sans-serif" w:hAnsi="Times New Roman;sans-serif"/>
          <w:b w:val="false"/>
          <w:color w:val="000000"/>
          <w:sz w:val="20"/>
        </w:rPr>
        <w:t xml:space="preserve">were driven by the same factors as the segment earnings and adjusted for identified items. Most Renewables and Energy Solutions activities were loss-making for the full year 2023, more than offset by positive adjusted earnings from trading and optimisation. </w:t>
      </w:r>
    </w:p>
    <w:p>
      <w:pPr>
        <w:pStyle w:val="TextBody"/>
        <w:bidi w:val="0"/>
        <w:spacing w:lineRule="auto" w:line="288" w:before="120" w:after="283"/>
        <w:jc w:val="left"/>
        <w:rPr/>
      </w:pPr>
      <w:r>
        <w:rPr>
          <w:rFonts w:ascii="Times New Roman;sans-serif" w:hAnsi="Times New Roman;sans-serif"/>
          <w:b/>
          <w:color w:val="000000"/>
          <w:sz w:val="20"/>
        </w:rPr>
        <w:t>Cash flow from operating activities</w:t>
      </w:r>
      <w:r>
        <w:rPr>
          <w:color w:val="000000"/>
        </w:rPr>
        <w:t xml:space="preserve"> </w:t>
      </w:r>
      <w:r>
        <w:rPr>
          <w:rFonts w:ascii="Times New Roman;sans-serif" w:hAnsi="Times New Roman;sans-serif"/>
          <w:b w:val="false"/>
          <w:color w:val="000000"/>
          <w:sz w:val="20"/>
        </w:rPr>
        <w:t>for the full year 2023 was primarily driven by working capital inflows of $3,723 million, and Adjusted EBITDA, partly offset by net cash outflows related to derivatives of $1,988 million, and tax payments of $762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12</w:t>
                      </w:r>
                    </w:p>
                  </w:txbxContent>
                </v:textbox>
                <w10:wrap type="none"/>
              </v:rect>
            </w:pict>
          </mc:Fallback>
        </mc:AlternateContent>
      </w:r>
    </w:p>
    <w:p>
      <w:pPr>
        <w:pStyle w:val="TextBody"/>
        <w:bidi w:val="0"/>
        <w:spacing w:lineRule="auto" w:line="268" w:before="120" w:after="283"/>
        <w:ind w:left="0" w:right="0" w:hanging="272"/>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All earnings amounts are shown post-tax, unless stated otherwise.</w:t>
      </w:r>
    </w:p>
    <w:p>
      <w:pPr>
        <w:pStyle w:val="TextBody"/>
        <w:bidi w:val="0"/>
        <w:spacing w:lineRule="auto" w:line="268" w:before="0" w:after="0"/>
        <w:ind w:left="0" w:right="0" w:hanging="272"/>
        <w:jc w:val="left"/>
        <w:rPr/>
      </w:pPr>
      <w:r>
        <w:rPr>
          <w:rFonts w:ascii="Times New Roman;sans-serif" w:hAnsi="Times New Roman;sans-serif"/>
          <w:b w:val="false"/>
          <w:color w:val="000000"/>
          <w:sz w:val="12"/>
        </w:rPr>
        <w:t>2.</w:t>
      </w:r>
      <w:r>
        <w:rPr>
          <w:rFonts w:ascii="Times New Roman;sans-serif" w:hAnsi="Times New Roman;sans-serif"/>
          <w:b w:val="false"/>
          <w:color w:val="000000"/>
          <w:sz w:val="20"/>
        </w:rPr>
        <w:t>Adjusted EBITDA is without taxation.</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Additional Growth Measures</w:t>
      </w:r>
    </w:p>
    <w:tbl>
      <w:tblPr>
        <w:tblW w:w="9397" w:type="dxa"/>
        <w:jc w:val="left"/>
        <w:tblInd w:w="0" w:type="dxa"/>
        <w:tblLayout w:type="fixed"/>
        <w:tblCellMar>
          <w:top w:w="28" w:type="dxa"/>
          <w:left w:w="28" w:type="dxa"/>
          <w:bottom w:w="28" w:type="dxa"/>
          <w:right w:w="28" w:type="dxa"/>
        </w:tblCellMar>
      </w:tblPr>
      <w:tblGrid>
        <w:gridCol w:w="271"/>
        <w:gridCol w:w="238"/>
        <w:gridCol w:w="240"/>
        <w:gridCol w:w="109"/>
        <w:gridCol w:w="109"/>
        <w:gridCol w:w="109"/>
        <w:gridCol w:w="244"/>
        <w:gridCol w:w="244"/>
        <w:gridCol w:w="246"/>
        <w:gridCol w:w="109"/>
        <w:gridCol w:w="109"/>
        <w:gridCol w:w="109"/>
        <w:gridCol w:w="244"/>
        <w:gridCol w:w="244"/>
        <w:gridCol w:w="246"/>
        <w:gridCol w:w="109"/>
        <w:gridCol w:w="109"/>
        <w:gridCol w:w="109"/>
        <w:gridCol w:w="125"/>
        <w:gridCol w:w="125"/>
        <w:gridCol w:w="126"/>
        <w:gridCol w:w="1373"/>
        <w:gridCol w:w="1373"/>
        <w:gridCol w:w="1378"/>
        <w:gridCol w:w="109"/>
        <w:gridCol w:w="203"/>
        <w:gridCol w:w="203"/>
        <w:gridCol w:w="156"/>
        <w:gridCol w:w="203"/>
        <w:gridCol w:w="203"/>
        <w:gridCol w:w="156"/>
        <w:gridCol w:w="136"/>
        <w:gridCol w:w="136"/>
        <w:gridCol w:w="194"/>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5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Full year</w:t>
            </w:r>
          </w:p>
        </w:tc>
      </w:tr>
      <w:tr>
        <w:trPr/>
        <w:tc>
          <w:tcPr>
            <w:tcW w:w="74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%¹</w:t>
            </w:r>
          </w:p>
        </w:tc>
        <w:tc>
          <w:tcPr>
            <w:tcW w:w="412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6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6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749"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 power generation capacity (gigawatt):</w:t>
            </w:r>
          </w:p>
        </w:tc>
        <w:tc>
          <w:tcPr>
            <w:tcW w:w="109" w:type="dxa"/>
            <w:tcBorders/>
            <w:vAlign w:val="center"/>
          </w:tcPr>
          <w:p>
            <w:pPr>
              <w:pStyle w:val="TableContents"/>
              <w:bidi w:val="0"/>
              <w:spacing w:before="0" w:after="283"/>
              <w:jc w:val="left"/>
              <w:rPr>
                <w:sz w:val="4"/>
                <w:szCs w:val="4"/>
              </w:rPr>
            </w:pPr>
            <w:r>
              <w:rPr>
                <w:sz w:val="4"/>
                <w:szCs w:val="4"/>
              </w:rPr>
            </w:r>
          </w:p>
        </w:tc>
        <w:tc>
          <w:tcPr>
            <w:tcW w:w="562"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124"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color w:val="000000"/>
              </w:rPr>
              <w:t xml:space="preserve">– </w:t>
            </w:r>
            <w:r>
              <w:rPr>
                <w:rFonts w:ascii="Times New Roman;sans-serif" w:hAnsi="Times New Roman;sans-serif"/>
                <w:b w:val="false"/>
                <w:color w:val="000000"/>
                <w:sz w:val="20"/>
              </w:rPr>
              <w:t>In operation</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509" w:type="dxa"/>
            <w:gridSpan w:val="2"/>
            <w:tcBorders>
              <w:bottom w:val="single" w:sz="2"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40" w:type="dxa"/>
            <w:tcBorders>
              <w:bottom w:val="single" w:sz="2"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bottom w:val="single" w:sz="2"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46" w:type="dxa"/>
            <w:tcBorders>
              <w:bottom w:val="single" w:sz="2"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bottom w:val="single" w:sz="2"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46" w:type="dxa"/>
            <w:tcBorders>
              <w:bottom w:val="single" w:sz="2"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2"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4124" w:type="dxa"/>
            <w:gridSpan w:val="3"/>
            <w:tcBorders>
              <w:bottom w:val="single" w:sz="2" w:space="0" w:color="000000"/>
            </w:tcBorders>
            <w:shd w:fill="CFF0FC" w:val="clear"/>
            <w:tcMar>
              <w:top w:w="0" w:type="dxa"/>
              <w:left w:w="0" w:type="dxa"/>
              <w:bottom w:w="30" w:type="dxa"/>
              <w:right w:w="0" w:type="dxa"/>
            </w:tcMar>
            <w:vAlign w:val="center"/>
          </w:tcPr>
          <w:p>
            <w:pPr>
              <w:pStyle w:val="TableContents"/>
              <w:bidi w:val="0"/>
              <w:spacing w:lineRule="auto" w:line="256" w:before="0" w:after="0"/>
              <w:jc w:val="left"/>
              <w:rPr/>
            </w:pPr>
            <w:r>
              <w:rPr>
                <w:color w:val="000000"/>
              </w:rPr>
              <w:t xml:space="preserve">– </w:t>
            </w:r>
            <w:r>
              <w:rPr>
                <w:rFonts w:ascii="Times New Roman;sans-serif" w:hAnsi="Times New Roman;sans-serif"/>
                <w:b w:val="false"/>
                <w:color w:val="000000"/>
                <w:sz w:val="20"/>
              </w:rPr>
              <w:t>Under construction and/or committed for sale</w:t>
            </w:r>
            <w:r>
              <w:rPr>
                <w:rFonts w:ascii="Times New Roman;sans-serif" w:hAnsi="Times New Roman;sans-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bottom w:val="single" w:sz="2"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6" w:type="dxa"/>
            <w:tcBorders>
              <w:bottom w:val="single" w:sz="2"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2"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6" w:type="dxa"/>
            <w:tcBorders>
              <w:bottom w:val="single" w:sz="2"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2"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TextBody"/>
        <w:bidi w:val="0"/>
        <w:spacing w:lineRule="auto" w:line="288" w:before="0" w:after="0"/>
        <w:ind w:left="0" w:right="0" w:hanging="142"/>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Q4 on Q3 change</w:t>
      </w:r>
    </w:p>
    <w:p>
      <w:pPr>
        <w:pStyle w:val="TextBody"/>
        <w:bidi w:val="0"/>
        <w:spacing w:lineRule="auto" w:line="288" w:before="0" w:after="0"/>
        <w:ind w:left="0" w:right="0" w:hanging="142"/>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Shell's equity share of renewable generation capacity post commercial operation date. It excludes Shell's equity share of associates where information cannot be obtained. </w:t>
      </w:r>
    </w:p>
    <w:p>
      <w:pPr>
        <w:pStyle w:val="TextBody"/>
        <w:bidi w:val="0"/>
        <w:spacing w:lineRule="auto" w:line="268" w:before="0" w:after="0"/>
        <w:ind w:left="0" w:right="0" w:hanging="142"/>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Shell's equity share of renewable generation capacity under construction and/or committed for sale under long-term offtake agreements (PPA). It excludes Shell's equity share of associates where information cannot be obtained.</w:t>
      </w:r>
    </w:p>
    <w:p>
      <w:pPr>
        <w:pStyle w:val="TextBody"/>
        <w:bidi w:val="0"/>
        <w:spacing w:before="0" w:after="0"/>
        <w:ind w:left="0" w:right="0" w:firstLine="218"/>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CORPORATE</w:t>
      </w:r>
    </w:p>
    <w:tbl>
      <w:tblPr>
        <w:tblW w:w="9030" w:type="dxa"/>
        <w:jc w:val="left"/>
        <w:tblInd w:w="0" w:type="dxa"/>
        <w:tblLayout w:type="fixed"/>
        <w:tblCellMar>
          <w:top w:w="28" w:type="dxa"/>
          <w:left w:w="28" w:type="dxa"/>
          <w:bottom w:w="28" w:type="dxa"/>
          <w:right w:w="28" w:type="dxa"/>
        </w:tblCellMar>
      </w:tblPr>
      <w:tblGrid>
        <w:gridCol w:w="344"/>
        <w:gridCol w:w="287"/>
        <w:gridCol w:w="240"/>
        <w:gridCol w:w="109"/>
        <w:gridCol w:w="109"/>
        <w:gridCol w:w="109"/>
        <w:gridCol w:w="270"/>
        <w:gridCol w:w="270"/>
        <w:gridCol w:w="246"/>
        <w:gridCol w:w="109"/>
        <w:gridCol w:w="109"/>
        <w:gridCol w:w="109"/>
        <w:gridCol w:w="312"/>
        <w:gridCol w:w="304"/>
        <w:gridCol w:w="246"/>
        <w:gridCol w:w="109"/>
        <w:gridCol w:w="109"/>
        <w:gridCol w:w="109"/>
        <w:gridCol w:w="980"/>
        <w:gridCol w:w="980"/>
        <w:gridCol w:w="995"/>
        <w:gridCol w:w="275"/>
        <w:gridCol w:w="275"/>
        <w:gridCol w:w="276"/>
        <w:gridCol w:w="344"/>
        <w:gridCol w:w="346"/>
        <w:gridCol w:w="156"/>
        <w:gridCol w:w="344"/>
        <w:gridCol w:w="346"/>
        <w:gridCol w:w="213"/>
      </w:tblGrid>
      <w:tr>
        <w:trPr/>
        <w:tc>
          <w:tcPr>
            <w:tcW w:w="34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1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Full year</w:t>
            </w:r>
          </w:p>
        </w:tc>
      </w:tr>
      <w:tr>
        <w:trPr/>
        <w:tc>
          <w:tcPr>
            <w:tcW w:w="87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Reference</w:t>
            </w:r>
          </w:p>
        </w:tc>
        <w:tc>
          <w:tcPr>
            <w:tcW w:w="84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90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31"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240"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Segment earnings</w:t>
            </w:r>
            <w:r>
              <w:rPr>
                <w:rFonts w:ascii="Times New Roman;sans-serif" w:hAnsi="Times New Roman;sans-serif"/>
                <w:b w:val="false"/>
                <w:color w:val="000000"/>
                <w:sz w:val="13"/>
              </w:rPr>
              <w:t>1</w:t>
            </w:r>
          </w:p>
        </w:tc>
        <w:tc>
          <w:tcPr>
            <w:tcW w:w="826"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w:t>
            </w:r>
          </w:p>
        </w:tc>
        <w:tc>
          <w:tcPr>
            <w:tcW w:w="213"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 Identified items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Earnings</w:t>
            </w:r>
            <w:r>
              <w:rPr>
                <w:rFonts w:ascii="Times New Roman;sans-serif" w:hAnsi="Times New Roman;sans-serif"/>
                <w:b w:val="false"/>
                <w:color w:val="000000"/>
                <w:sz w:val="13"/>
              </w:rPr>
              <w:t>1</w:t>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3"/>
              </w:rPr>
              <w:t>1</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1,540 </w:t>
            </w:r>
          </w:p>
        </w:tc>
        <w:tc>
          <w:tcPr>
            <w:tcW w:w="240"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246"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1,916 </w:t>
            </w:r>
          </w:p>
        </w:tc>
        <w:tc>
          <w:tcPr>
            <w:tcW w:w="246"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w:t>
            </w:r>
          </w:p>
        </w:tc>
        <w:tc>
          <w:tcPr>
            <w:tcW w:w="826" w:type="dxa"/>
            <w:gridSpan w:val="3"/>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90"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w:t>
            </w:r>
          </w:p>
        </w:tc>
        <w:tc>
          <w:tcPr>
            <w:tcW w:w="156"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2,192 </w:t>
            </w:r>
          </w:p>
        </w:tc>
        <w:tc>
          <w:tcPr>
            <w:tcW w:w="213"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142"/>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Segment earnings, Adjusted Earnings and Adjusted EBITDA are presented on a CCS basis (see Note 2). </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Corporate segment covers the non-operating activities supporting Shell, comprising Shell’s holdings and treasury organisation, its self-insurance activities and its headquarters and central functions. All finance expense and income and related taxes are included in Corporate segment earnings rather than in the earnings of business segments.</w:t>
      </w:r>
    </w:p>
    <w:p>
      <w:pPr>
        <w:pStyle w:val="TextBody"/>
        <w:bidi w:val="0"/>
        <w:spacing w:lineRule="auto" w:line="264" w:before="120" w:after="120"/>
        <w:jc w:val="left"/>
        <w:rPr/>
      </w:pPr>
      <w:r>
        <w:rPr>
          <w:rFonts w:ascii="Times New Roman;sans-serif" w:hAnsi="Times New Roman;sans-serif"/>
          <w:b/>
          <w:color w:val="000000"/>
          <w:sz w:val="20"/>
        </w:rPr>
        <w:t>Quarter Analysis</w:t>
      </w:r>
      <w:r>
        <w:rPr>
          <w:rFonts w:ascii="Times New Roman;sans-serif" w:hAnsi="Times New Roman;sans-serif"/>
          <w:b/>
          <w:color w:val="000000"/>
          <w:sz w:val="13"/>
        </w:rPr>
        <w:t>1</w:t>
      </w:r>
    </w:p>
    <w:p>
      <w:pPr>
        <w:pStyle w:val="TextBody"/>
        <w:bidi w:val="0"/>
        <w:spacing w:lineRule="auto" w:line="288" w:before="0" w:after="0"/>
        <w:jc w:val="left"/>
        <w:rPr/>
      </w:pPr>
      <w:r>
        <w:rPr>
          <w:rFonts w:ascii="Times New Roman;sans-serif" w:hAnsi="Times New Roman;sans-serif"/>
          <w:b/>
          <w:color w:val="000000"/>
          <w:sz w:val="20"/>
        </w:rPr>
        <w:t>Segment earnings,</w:t>
      </w:r>
      <w:r>
        <w:rPr>
          <w:color w:val="000000"/>
        </w:rPr>
        <w:t xml:space="preserve"> </w:t>
      </w:r>
      <w:r>
        <w:rPr>
          <w:rFonts w:ascii="Times New Roman;sans-serif" w:hAnsi="Times New Roman;sans-serif"/>
          <w:b w:val="false"/>
          <w:color w:val="000000"/>
          <w:sz w:val="20"/>
        </w:rPr>
        <w:t xml:space="preserve">compared with the third quarter 2023, reflected unfavourable movements in currency exchange rate effects and net interest expense, partly offset by a favourable movement in tax credits. </w:t>
      </w:r>
    </w:p>
    <w:p>
      <w:pPr>
        <w:pStyle w:val="TextBody"/>
        <w:bidi w:val="0"/>
        <w:spacing w:lineRule="auto" w:line="268" w:before="120" w:after="120"/>
        <w:jc w:val="left"/>
        <w:rPr/>
      </w:pPr>
      <w:r>
        <w:rPr>
          <w:rFonts w:ascii="Times New Roman;sans-serif" w:hAnsi="Times New Roman;sans-serif"/>
          <w:b/>
          <w:color w:val="000000"/>
          <w:sz w:val="20"/>
        </w:rPr>
        <w:t>Adjusted EBITDA</w:t>
      </w:r>
      <w:r>
        <w:rPr>
          <w:rFonts w:ascii="Times New Roman;sans-serif" w:hAnsi="Times New Roman;sans-serif"/>
          <w:b/>
          <w:color w:val="000000"/>
          <w:sz w:val="13"/>
        </w:rPr>
        <w:t>2</w:t>
      </w:r>
      <w:r>
        <w:rPr>
          <w:color w:val="000000"/>
        </w:rPr>
        <w:t xml:space="preserve"> </w:t>
      </w:r>
      <w:r>
        <w:rPr>
          <w:rFonts w:ascii="Times New Roman;sans-serif" w:hAnsi="Times New Roman;sans-serif"/>
          <w:b w:val="false"/>
          <w:color w:val="000000"/>
          <w:sz w:val="20"/>
        </w:rPr>
        <w:t>was mainly driven by unfavourable currency exchange rate effects.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pPr>
      <w:r>
        <w:rPr>
          <w:rFonts w:ascii="Times New Roman;sans-serif" w:hAnsi="Times New Roman;sans-serif"/>
          <w:b/>
          <w:color w:val="000000"/>
          <w:sz w:val="20"/>
        </w:rPr>
        <w:t>Full Year Analysis</w:t>
      </w:r>
      <w:r>
        <w:rPr>
          <w:rFonts w:ascii="Times New Roman;sans-serif" w:hAnsi="Times New Roman;sans-serif"/>
          <w:b/>
          <w:color w:val="000000"/>
          <w:sz w:val="13"/>
        </w:rPr>
        <w:t>1</w:t>
      </w:r>
    </w:p>
    <w:p>
      <w:pPr>
        <w:pStyle w:val="TextBody"/>
        <w:bidi w:val="0"/>
        <w:spacing w:lineRule="auto" w:line="276" w:before="120" w:after="283"/>
        <w:jc w:val="left"/>
        <w:rPr/>
      </w:pPr>
      <w:r>
        <w:rPr>
          <w:rFonts w:ascii="Times New Roman;sans-serif" w:hAnsi="Times New Roman;sans-serif"/>
          <w:b/>
          <w:color w:val="000000"/>
          <w:sz w:val="20"/>
        </w:rPr>
        <w:t>Segment earnings</w:t>
      </w:r>
      <w:r>
        <w:rPr>
          <w:rFonts w:ascii="Times New Roman;sans-serif" w:hAnsi="Times New Roman;sans-serif"/>
          <w:b w:val="false"/>
          <w:color w:val="000000"/>
          <w:sz w:val="20"/>
        </w:rPr>
        <w:t>, compared with the full year 2022, were primarily driven by unfavourable movements in currency exchange rate effects and tax credits.</w:t>
      </w:r>
    </w:p>
    <w:p>
      <w:pPr>
        <w:pStyle w:val="TextBody"/>
        <w:bidi w:val="0"/>
        <w:spacing w:lineRule="auto" w:line="268" w:before="120" w:after="120"/>
        <w:jc w:val="left"/>
        <w:rPr/>
      </w:pPr>
      <w:r>
        <w:rPr>
          <w:rFonts w:ascii="Times New Roman;sans-serif" w:hAnsi="Times New Roman;sans-serif"/>
          <w:b/>
          <w:color w:val="000000"/>
          <w:sz w:val="20"/>
        </w:rPr>
        <w:t>Adjusted EBITDA</w:t>
      </w:r>
      <w:r>
        <w:rPr>
          <w:rFonts w:ascii="Times New Roman;sans-serif" w:hAnsi="Times New Roman;sans-serif"/>
          <w:b/>
          <w:color w:val="000000"/>
          <w:sz w:val="13"/>
        </w:rPr>
        <w:t>2</w:t>
      </w:r>
      <w:r>
        <w:rPr>
          <w:color w:val="000000"/>
        </w:rPr>
        <w:t xml:space="preserve"> </w:t>
      </w:r>
      <w:r>
        <w:rPr>
          <w:rFonts w:ascii="Times New Roman;sans-serif" w:hAnsi="Times New Roman;sans-serif"/>
          <w:b w:val="false"/>
          <w:color w:val="000000"/>
          <w:sz w:val="20"/>
        </w:rPr>
        <w:t xml:space="preserve">was mainly driven by unfavourable currency exchange rate effects.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283"/>
        <w:ind w:left="0" w:right="0" w:hanging="272"/>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All earnings amounts are shown post-tax, unless stated otherwise.</w:t>
      </w:r>
    </w:p>
    <w:p>
      <w:pPr>
        <w:pStyle w:val="TextBody"/>
        <w:bidi w:val="0"/>
        <w:spacing w:lineRule="auto" w:line="268" w:before="0" w:after="0"/>
        <w:ind w:left="0" w:right="0" w:hanging="272"/>
        <w:jc w:val="left"/>
        <w:rPr/>
      </w:pPr>
      <w:r>
        <w:rPr>
          <w:rFonts w:ascii="Times New Roman;sans-serif" w:hAnsi="Times New Roman;sans-serif"/>
          <w:b w:val="false"/>
          <w:color w:val="000000"/>
          <w:sz w:val="12"/>
        </w:rPr>
        <w:t>2.</w:t>
      </w:r>
      <w:r>
        <w:rPr>
          <w:rFonts w:ascii="Times New Roman;sans-serif" w:hAnsi="Times New Roman;sans-serif"/>
          <w:b w:val="false"/>
          <w:color w:val="000000"/>
          <w:sz w:val="20"/>
        </w:rPr>
        <w:t>Adjusted EBITDA is without taxation.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ans-serif" w:hAnsi="Times New Roman;sans-serif"/>
          <w:b/>
          <w:color w:val="FF0000"/>
          <w:sz w:val="20"/>
        </w:rPr>
      </w:pPr>
      <w:r>
        <w:rPr>
          <w:rFonts w:ascii="Times New Roman;sans-serif" w:hAnsi="Times New Roman;sans-serif"/>
          <w:b/>
          <w:color w:val="FF0000"/>
          <w:sz w:val="20"/>
        </w:rPr>
        <w:t xml:space="preserve">PRELIMINARY RESERVES UPDATE </w:t>
      </w:r>
    </w:p>
    <w:p>
      <w:pPr>
        <w:pStyle w:val="TextBody"/>
        <w:bidi w:val="0"/>
        <w:spacing w:lineRule="auto" w:line="276"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final volumes are reported in the 2023 Annual Report and Accounts and 2023 Form 20-F, Shell expects that SEC proved oil and gas reserves additions before taking into account production will be approximately 1.3 billion boe, and that 2023 production will be approximately 1.1 billion boe. As a result, total proved reserves on an SEC basis are expected to be approximately 9.8 billion boe. Acquisitions and divestments of 2023 reserves are expected to account for a net increase of approximately 0.2 billion boe. </w:t>
      </w:r>
    </w:p>
    <w:p>
      <w:pPr>
        <w:pStyle w:val="TextBody"/>
        <w:bidi w:val="0"/>
        <w:spacing w:lineRule="auto" w:line="276"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proved Reserves Replacement Ratio on an SEC basis is expected to be 120% for the year and 120% for the 3-year average. Excluding the impact of acquisitions and divestments, the proved Reserves Replacement Ratio is expected to be 99% for the year and 90% for the 3-year average.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information will be provided in the 2023 Annual Report and Accounts and 2023 Form 20-F.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13</w:t>
                      </w:r>
                    </w:p>
                  </w:txbxContent>
                </v:textbox>
                <w10:wrap type="none"/>
              </v:rect>
            </w:pict>
          </mc:Fallback>
        </mc:AlternateContent>
      </w:r>
    </w:p>
    <w:p>
      <w:pPr>
        <w:pStyle w:val="TextBody"/>
        <w:bidi w:val="0"/>
        <w:spacing w:lineRule="auto" w:line="288" w:before="200" w:after="120"/>
        <w:jc w:val="left"/>
        <w:rPr>
          <w:rFonts w:ascii="Times New Roman;sans-serif" w:hAnsi="Times New Roman;sans-serif"/>
          <w:b/>
          <w:color w:val="FF0000"/>
          <w:sz w:val="20"/>
        </w:rPr>
      </w:pPr>
      <w:r>
        <w:rPr>
          <w:rFonts w:ascii="Times New Roman;sans-serif" w:hAnsi="Times New Roman;sans-serif"/>
          <w:b/>
          <w:color w:val="FF0000"/>
          <w:sz w:val="20"/>
        </w:rPr>
        <w:t>OUTLOOK FOR THE FIRST QUARTER 2024</w:t>
      </w:r>
    </w:p>
    <w:p>
      <w:pPr>
        <w:pStyle w:val="TextBody"/>
        <w:bidi w:val="0"/>
        <w:spacing w:lineRule="auto" w:line="288" w:before="2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Cash capital expenditure for full year 2024 is expected to be within $22 - $25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Integrated Gas production is expected to be approximately 930 - 990 thousand boe/d. LNG liquefaction volumes are expected to be approximately 7.0 - 7.6 million tonnes. Outlook reflects Prelude back in operation after a major turnaround.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ans-serif" w:hAnsi="Times New Roman;sans-serif"/>
          <w:b w:val="false"/>
          <w:color w:val="000000"/>
          <w:sz w:val="20"/>
        </w:rPr>
        <w:t>Upstream production is expected to be approximately 1,730 - 1,930 thousand boe/d. Production outlook reflects the planned maintenance in deep-water assets.</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Marketing sales volumes are expected to be approximately 2,150 - 2,650 thousand b/d.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Refinery utilisation is expected to be approximately 83% - 91%, higher due to completion of planned maintenance activities in North America. Chemicals manufacturing plant utilisation is expected to be approximately 68% - 76%.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Adjusted Earnings are expected to be a net expense of approximately $400 - $600 million in the first quarter and a net expense of approximately $1,500 - $2,100 million for the full year 2024. This excludes the impact of currency exchange rate and fair value accounting effects. </w:t>
      </w:r>
    </w:p>
    <w:p>
      <w:pPr>
        <w:pStyle w:val="TextBody"/>
        <w:bidi w:val="0"/>
        <w:spacing w:lineRule="auto" w:line="288" w:before="120" w:after="120"/>
        <w:jc w:val="left"/>
        <w:rPr/>
      </w:pPr>
      <w:r>
        <w:rPr>
          <w:rFonts w:ascii="Times New Roman;sans-serif" w:hAnsi="Times New Roman;sans-serif"/>
          <w:b/>
          <w:color w:val="000000"/>
          <w:sz w:val="20"/>
        </w:rPr>
        <w:t>Energy Transition Strategy Update:</w:t>
      </w:r>
      <w:r>
        <w:rPr>
          <w:color w:val="000000"/>
        </w:rPr>
        <w:t xml:space="preserve"> </w:t>
      </w:r>
      <w:r>
        <w:rPr>
          <w:rFonts w:ascii="Times New Roman;sans-serif" w:hAnsi="Times New Roman;sans-serif"/>
          <w:b w:val="false"/>
          <w:color w:val="000000"/>
          <w:sz w:val="20"/>
        </w:rPr>
        <w:t>As Shell progresses towards its goal of achieving net-zero emissions by 2050 in an evolving energy marketplace serving a dynamic world, Shell continuously evaluates and updates its energy transition strategy, including its interim targets to reduce the carbon intensity of the energy products it sells. Shell expects to publish its 2024 Energy Transition Strategy on March 14, 2024. This publication will update shareholders and wider society on Shell’s energy transition strategy in line with its Capital Markets Day 2023 communications and set out Shell’s climate targets and ambitions for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ans-serif" w:hAnsi="Times New Roman;sans-serif"/>
          <w:b/>
          <w:color w:val="FF0000"/>
          <w:sz w:val="20"/>
        </w:rPr>
      </w:pPr>
      <w:r>
        <w:rPr>
          <w:rFonts w:ascii="Times New Roman;sans-serif" w:hAnsi="Times New Roman;sans-serif"/>
          <w:b/>
          <w:color w:val="FF0000"/>
          <w:sz w:val="20"/>
        </w:rPr>
        <w:t>FORTHCOMING EVENTS</w:t>
      </w:r>
    </w:p>
    <w:tbl>
      <w:tblPr>
        <w:tblW w:w="10205" w:type="dxa"/>
        <w:jc w:val="left"/>
        <w:tblInd w:w="0" w:type="dxa"/>
        <w:tblLayout w:type="fixed"/>
        <w:tblCellMar>
          <w:top w:w="28" w:type="dxa"/>
          <w:left w:w="28" w:type="dxa"/>
          <w:bottom w:w="28" w:type="dxa"/>
          <w:right w:w="28" w:type="dxa"/>
        </w:tblCellMar>
      </w:tblPr>
      <w:tblGrid>
        <w:gridCol w:w="572"/>
        <w:gridCol w:w="504"/>
        <w:gridCol w:w="512"/>
        <w:gridCol w:w="2517"/>
        <w:gridCol w:w="2512"/>
        <w:gridCol w:w="3588"/>
      </w:tblGrid>
      <w:tr>
        <w:trPr/>
        <w:tc>
          <w:tcPr>
            <w:tcW w:w="57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3588"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Date</w:t>
            </w:r>
          </w:p>
        </w:tc>
        <w:tc>
          <w:tcPr>
            <w:tcW w:w="8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Event</w:t>
            </w:r>
          </w:p>
        </w:tc>
      </w:tr>
      <w:tr>
        <w:trPr/>
        <w:tc>
          <w:tcPr>
            <w:tcW w:w="1588"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2024</w:t>
            </w:r>
          </w:p>
        </w:tc>
        <w:tc>
          <w:tcPr>
            <w:tcW w:w="8617"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Shell LNG Outlook 2024</w:t>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14, 2024</w:t>
            </w:r>
          </w:p>
        </w:tc>
        <w:tc>
          <w:tcPr>
            <w:tcW w:w="8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Publication of Annual Report and Accounts and filing of Form 20-F for the year ended December 31, 2023</w:t>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14, 2024</w:t>
            </w:r>
          </w:p>
        </w:tc>
        <w:tc>
          <w:tcPr>
            <w:tcW w:w="8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Publication of Energy Transition Strategy 2024</w:t>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27, 2024</w:t>
            </w:r>
          </w:p>
        </w:tc>
        <w:tc>
          <w:tcPr>
            <w:tcW w:w="8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ESG Update</w:t>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8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2024 results and dividends</w:t>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21, 2024</w:t>
            </w:r>
          </w:p>
        </w:tc>
        <w:tc>
          <w:tcPr>
            <w:tcW w:w="8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General Meeting</w:t>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c>
          <w:tcPr>
            <w:tcW w:w="8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 2024 results and dividends</w:t>
            </w:r>
          </w:p>
        </w:tc>
      </w:tr>
      <w:tr>
        <w:trPr/>
        <w:tc>
          <w:tcPr>
            <w:tcW w:w="1588"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31, 2024</w:t>
            </w:r>
          </w:p>
        </w:tc>
        <w:tc>
          <w:tcPr>
            <w:tcW w:w="8617"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 2024 results and dividends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14</w:t>
                      </w:r>
                    </w:p>
                  </w:txbxContent>
                </v:textbox>
                <w10:wrap type="none"/>
              </v:rect>
            </w:pict>
          </mc:Fallback>
        </mc:AlternateContent>
      </w:r>
    </w:p>
    <w:p>
      <w:pPr>
        <w:pStyle w:val="TextBody"/>
        <w:bidi w:val="0"/>
        <w:spacing w:lineRule="auto" w:line="288" w:before="0" w:after="120"/>
        <w:jc w:val="left"/>
        <w:rPr>
          <w:rFonts w:ascii="Times New Roman;sans-serif" w:hAnsi="Times New Roman;sans-serif"/>
          <w:b/>
          <w:color w:val="FF0000"/>
          <w:sz w:val="20"/>
        </w:rPr>
      </w:pPr>
      <w:r>
        <w:rPr>
          <w:rFonts w:ascii="Times New Roman;sans-serif" w:hAnsi="Times New Roman;sans-serif"/>
          <w:b/>
          <w:color w:val="FF0000"/>
          <w:sz w:val="20"/>
        </w:rPr>
        <w:t xml:space="preserve">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CONSOLIDATED STATEMENT OF INCOME</w:t>
      </w:r>
    </w:p>
    <w:tbl>
      <w:tblPr>
        <w:tblW w:w="10205" w:type="dxa"/>
        <w:jc w:val="center"/>
        <w:tblInd w:w="0" w:type="dxa"/>
        <w:tblLayout w:type="fixed"/>
        <w:tblCellMar>
          <w:top w:w="28" w:type="dxa"/>
          <w:left w:w="28" w:type="dxa"/>
          <w:bottom w:w="28" w:type="dxa"/>
          <w:right w:w="28" w:type="dxa"/>
        </w:tblCellMar>
      </w:tblPr>
      <w:tblGrid>
        <w:gridCol w:w="391"/>
        <w:gridCol w:w="345"/>
        <w:gridCol w:w="234"/>
        <w:gridCol w:w="109"/>
        <w:gridCol w:w="109"/>
        <w:gridCol w:w="109"/>
        <w:gridCol w:w="360"/>
        <w:gridCol w:w="361"/>
        <w:gridCol w:w="240"/>
        <w:gridCol w:w="109"/>
        <w:gridCol w:w="109"/>
        <w:gridCol w:w="109"/>
        <w:gridCol w:w="413"/>
        <w:gridCol w:w="413"/>
        <w:gridCol w:w="240"/>
        <w:gridCol w:w="109"/>
        <w:gridCol w:w="109"/>
        <w:gridCol w:w="109"/>
        <w:gridCol w:w="1411"/>
        <w:gridCol w:w="1381"/>
        <w:gridCol w:w="1412"/>
        <w:gridCol w:w="413"/>
        <w:gridCol w:w="413"/>
        <w:gridCol w:w="156"/>
        <w:gridCol w:w="413"/>
        <w:gridCol w:w="413"/>
        <w:gridCol w:w="215"/>
      </w:tblGrid>
      <w:tr>
        <w:trPr/>
        <w:tc>
          <w:tcPr>
            <w:tcW w:w="39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6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20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Full year</w:t>
            </w:r>
          </w:p>
        </w:tc>
      </w:tr>
      <w:tr>
        <w:trPr/>
        <w:tc>
          <w:tcPr>
            <w:tcW w:w="97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4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78,732 </w:t>
            </w:r>
          </w:p>
        </w:tc>
        <w:tc>
          <w:tcPr>
            <w:tcW w:w="23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76,350 </w:t>
            </w:r>
          </w:p>
        </w:tc>
        <w:tc>
          <w:tcPr>
            <w:tcW w:w="2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101,303 </w:t>
            </w:r>
          </w:p>
        </w:tc>
        <w:tc>
          <w:tcPr>
            <w:tcW w:w="2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20"/>
              </w:rPr>
              <w:t>Revenue</w:t>
            </w:r>
            <w:r>
              <w:rPr>
                <w:rFonts w:ascii="Times New Roman;sans-serif" w:hAnsi="Times New Roman;sans-serif"/>
                <w:b w:val="false"/>
                <w:color w:val="000000"/>
                <w:sz w:val="14"/>
              </w:rPr>
              <w:t>1</w:t>
            </w:r>
          </w:p>
        </w:tc>
        <w:tc>
          <w:tcPr>
            <w:tcW w:w="82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316,620 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381,314 </w:t>
            </w:r>
          </w:p>
        </w:tc>
        <w:tc>
          <w:tcPr>
            <w:tcW w:w="215"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profit/(loss) of joint ventures and associates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and other income/(expenses)</w:t>
            </w:r>
            <w:r>
              <w:rPr>
                <w:rFonts w:ascii="Times New Roman;sans-serif" w:hAnsi="Times New Roman;sans-serif"/>
                <w:b w:val="false"/>
                <w:color w:val="000000"/>
                <w:sz w:val="13"/>
              </w:rPr>
              <w:t>2</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80,131 </w:t>
            </w:r>
          </w:p>
        </w:tc>
        <w:tc>
          <w:tcPr>
            <w:tcW w:w="2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78,011 </w:t>
            </w:r>
          </w:p>
        </w:tc>
        <w:tc>
          <w:tcPr>
            <w:tcW w:w="2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101,195 </w:t>
            </w:r>
          </w:p>
        </w:tc>
        <w:tc>
          <w:tcPr>
            <w:tcW w:w="2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and other income/(expenses)</w:t>
            </w:r>
          </w:p>
        </w:tc>
        <w:tc>
          <w:tcPr>
            <w:tcW w:w="82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323,183 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386,201 </w:t>
            </w:r>
          </w:p>
        </w:tc>
        <w:tc>
          <w:tcPr>
            <w:tcW w:w="21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54,745 </w:t>
            </w:r>
          </w:p>
        </w:tc>
        <w:tc>
          <w:tcPr>
            <w:tcW w:w="23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49,144 </w:t>
            </w:r>
          </w:p>
        </w:tc>
        <w:tc>
          <w:tcPr>
            <w:tcW w:w="2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65,489 </w:t>
            </w:r>
          </w:p>
        </w:tc>
        <w:tc>
          <w:tcPr>
            <w:tcW w:w="2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82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212,883 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258,488 </w:t>
            </w:r>
          </w:p>
        </w:tc>
        <w:tc>
          <w:tcPr>
            <w:tcW w:w="215"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manufacturing expenses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distribution and administrative expenses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Exploration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Depreciation, depletion and amortisation</w:t>
            </w:r>
            <w:r>
              <w:rPr>
                <w:rFonts w:ascii="Times New Roman;sans-serif" w:hAnsi="Times New Roman;sans-serif"/>
                <w:b w:val="false"/>
                <w:color w:val="000000"/>
                <w:sz w:val="13"/>
              </w:rPr>
              <w:t>2</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78,496 </w:t>
            </w:r>
          </w:p>
        </w:tc>
        <w:tc>
          <w:tcPr>
            <w:tcW w:w="2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66,720 </w:t>
            </w:r>
          </w:p>
        </w:tc>
        <w:tc>
          <w:tcPr>
            <w:tcW w:w="2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84,752 </w:t>
            </w:r>
          </w:p>
        </w:tc>
        <w:tc>
          <w:tcPr>
            <w:tcW w:w="2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expenditure</w:t>
            </w:r>
          </w:p>
        </w:tc>
        <w:tc>
          <w:tcPr>
            <w:tcW w:w="82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290,555 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321,386 </w:t>
            </w:r>
          </w:p>
        </w:tc>
        <w:tc>
          <w:tcPr>
            <w:tcW w:w="21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234"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11,291 </w:t>
            </w:r>
          </w:p>
        </w:tc>
        <w:tc>
          <w:tcPr>
            <w:tcW w:w="2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16,443 </w:t>
            </w:r>
          </w:p>
        </w:tc>
        <w:tc>
          <w:tcPr>
            <w:tcW w:w="2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Income/(loss) before taxation</w:t>
            </w:r>
          </w:p>
        </w:tc>
        <w:tc>
          <w:tcPr>
            <w:tcW w:w="82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32,628 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64,815 </w:t>
            </w:r>
          </w:p>
        </w:tc>
        <w:tc>
          <w:tcPr>
            <w:tcW w:w="215"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Taxation charge/(credit)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536</w:t>
            </w:r>
            <w:r>
              <w:rPr>
                <w:color w:val="000000"/>
              </w:rPr>
              <w:t> </w:t>
            </w:r>
          </w:p>
        </w:tc>
        <w:tc>
          <w:tcPr>
            <w:tcW w:w="234"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7,176</w:t>
            </w:r>
            <w:r>
              <w:rPr>
                <w:color w:val="000000"/>
              </w:rPr>
              <w:t> </w:t>
            </w:r>
          </w:p>
        </w:tc>
        <w:tc>
          <w:tcPr>
            <w:tcW w:w="2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10,469</w:t>
            </w:r>
            <w:r>
              <w:rPr>
                <w:color w:val="000000"/>
              </w:rPr>
              <w:t> </w:t>
            </w:r>
          </w:p>
        </w:tc>
        <w:tc>
          <w:tcPr>
            <w:tcW w:w="2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color w:val="000000"/>
                <w:sz w:val="20"/>
              </w:rPr>
              <w:t>Income/(loss) for the period</w:t>
            </w:r>
            <w:r>
              <w:rPr>
                <w:rFonts w:ascii="Times New Roman;sans-serif" w:hAnsi="Times New Roman;sans-serif"/>
                <w:b/>
                <w:color w:val="000000"/>
                <w:sz w:val="22"/>
              </w:rPr>
              <w:t>¹</w:t>
            </w:r>
          </w:p>
        </w:tc>
        <w:tc>
          <w:tcPr>
            <w:tcW w:w="82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19,638</w:t>
            </w:r>
            <w:r>
              <w:rPr>
                <w:color w:val="000000"/>
              </w:rPr>
              <w:t>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42,874</w:t>
            </w:r>
            <w:r>
              <w:rPr>
                <w:color w:val="000000"/>
              </w:rPr>
              <w:t> </w:t>
            </w:r>
          </w:p>
        </w:tc>
        <w:tc>
          <w:tcPr>
            <w:tcW w:w="215"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Income/(loss) attributable to non-controlling interest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474</w:t>
            </w:r>
            <w:r>
              <w:rPr>
                <w:color w:val="000000"/>
              </w:rPr>
              <w:t> </w:t>
            </w:r>
          </w:p>
        </w:tc>
        <w:tc>
          <w:tcPr>
            <w:tcW w:w="234"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7,044</w:t>
            </w:r>
            <w:r>
              <w:rPr>
                <w:color w:val="000000"/>
              </w:rPr>
              <w:t> </w:t>
            </w:r>
          </w:p>
        </w:tc>
        <w:tc>
          <w:tcPr>
            <w:tcW w:w="2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10,409</w:t>
            </w:r>
            <w:r>
              <w:rPr>
                <w:color w:val="000000"/>
              </w:rPr>
              <w:t> </w:t>
            </w:r>
          </w:p>
        </w:tc>
        <w:tc>
          <w:tcPr>
            <w:tcW w:w="2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Income/(loss) attributable to Shell plc shareholders</w:t>
            </w:r>
          </w:p>
        </w:tc>
        <w:tc>
          <w:tcPr>
            <w:tcW w:w="82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19,360</w:t>
            </w:r>
            <w:r>
              <w:rPr>
                <w:color w:val="000000"/>
              </w:rPr>
              <w:t>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42,309</w:t>
            </w:r>
            <w:r>
              <w:rPr>
                <w:color w:val="000000"/>
              </w:rPr>
              <w:t> </w:t>
            </w:r>
          </w:p>
        </w:tc>
        <w:tc>
          <w:tcPr>
            <w:tcW w:w="215"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20"/>
              </w:rPr>
              <w:t>Basic earnings per share ($)</w:t>
            </w:r>
            <w:r>
              <w:rPr>
                <w:rFonts w:ascii="Times New Roman;sans-serif" w:hAnsi="Times New Roman;sans-serif"/>
                <w:b w:val="false"/>
                <w:color w:val="000000"/>
                <w:sz w:val="13"/>
              </w:rPr>
              <w:t>3</w:t>
            </w:r>
          </w:p>
        </w:tc>
        <w:tc>
          <w:tcPr>
            <w:tcW w:w="98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82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21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40"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240"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20"/>
              </w:rPr>
              <w:t>Diluted earnings per share ($)</w:t>
            </w:r>
            <w:r>
              <w:rPr>
                <w:rFonts w:ascii="Times New Roman;sans-serif" w:hAnsi="Times New Roman;sans-serif"/>
                <w:b w:val="false"/>
                <w:color w:val="000000"/>
                <w:sz w:val="13"/>
              </w:rPr>
              <w:t>3</w:t>
            </w:r>
          </w:p>
        </w:tc>
        <w:tc>
          <w:tcPr>
            <w:tcW w:w="982"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82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215"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pPr>
      <w:r>
        <w:rPr>
          <w:rFonts w:ascii="Times New Roman;sans-serif" w:hAnsi="Times New Roman;sans-serif"/>
          <w:b w:val="false"/>
          <w:color w:val="000000"/>
          <w:sz w:val="13"/>
        </w:rPr>
        <w:t>1.    </w:t>
      </w:r>
      <w:r>
        <w:rPr>
          <w:rFonts w:ascii="Times New Roman;sans-serif" w:hAnsi="Times New Roman;sans-serif"/>
          <w:b w:val="false"/>
          <w:color w:val="000000"/>
          <w:sz w:val="20"/>
        </w:rPr>
        <w:t>See Note 2 “Segment information”.</w:t>
      </w:r>
    </w:p>
    <w:p>
      <w:pPr>
        <w:pStyle w:val="TextBody"/>
        <w:bidi w:val="0"/>
        <w:spacing w:lineRule="auto" w:line="288" w:before="0" w:after="0"/>
        <w:ind w:left="0" w:right="0" w:hanging="450"/>
        <w:jc w:val="left"/>
        <w:rPr/>
      </w:pPr>
      <w:r>
        <w:rPr>
          <w:rFonts w:ascii="Times New Roman;sans-serif" w:hAnsi="Times New Roman;sans-serif"/>
          <w:b w:val="false"/>
          <w:color w:val="000000"/>
          <w:sz w:val="13"/>
        </w:rPr>
        <w:t>2.    </w:t>
      </w:r>
      <w:r>
        <w:rPr>
          <w:rFonts w:ascii="Times New Roman;sans-serif" w:hAnsi="Times New Roman;sans-serif"/>
          <w:b w:val="false"/>
          <w:color w:val="000000"/>
          <w:sz w:val="20"/>
        </w:rPr>
        <w:t>See Note 8 “Other notes to the unaudited Condensed Consolidated Financial Statements”.</w:t>
      </w:r>
      <w:r>
        <w:rPr>
          <w:color w:val="000000"/>
        </w:rPr>
        <w:t xml:space="preserve"> </w:t>
      </w:r>
    </w:p>
    <w:p>
      <w:pPr>
        <w:pStyle w:val="TextBody"/>
        <w:bidi w:val="0"/>
        <w:spacing w:lineRule="auto" w:line="288" w:before="0" w:after="0"/>
        <w:ind w:left="0" w:right="0" w:hanging="450"/>
        <w:jc w:val="left"/>
        <w:rPr/>
      </w:pPr>
      <w:r>
        <w:rPr>
          <w:rFonts w:ascii="Times New Roman;sans-serif" w:hAnsi="Times New Roman;sans-serif"/>
          <w:b w:val="false"/>
          <w:color w:val="000000"/>
          <w:sz w:val="13"/>
        </w:rPr>
        <w:t>3.    </w:t>
      </w:r>
      <w:r>
        <w:rPr>
          <w:rFonts w:ascii="Times New Roman;sans-serif" w:hAnsi="Times New Roman;sans-serif"/>
          <w:b w:val="false"/>
          <w:color w:val="000000"/>
          <w:sz w:val="20"/>
        </w:rPr>
        <w:t xml:space="preserve">See Note 4 “Earnings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15</w:t>
                      </w:r>
                    </w:p>
                  </w:txbxContent>
                </v:textbox>
                <w10:wrap type="none"/>
              </v:rect>
            </w:pict>
          </mc:Fallback>
        </mc:AlternateConten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CONSOLIDATED STATEMENT OF COMPREHENSIVE INCOME</w:t>
      </w:r>
    </w:p>
    <w:tbl>
      <w:tblPr>
        <w:tblW w:w="10205" w:type="dxa"/>
        <w:jc w:val="center"/>
        <w:tblInd w:w="0" w:type="dxa"/>
        <w:tblLayout w:type="fixed"/>
        <w:tblCellMar>
          <w:top w:w="28" w:type="dxa"/>
          <w:left w:w="28" w:type="dxa"/>
          <w:bottom w:w="28" w:type="dxa"/>
          <w:right w:w="28" w:type="dxa"/>
        </w:tblCellMar>
      </w:tblPr>
      <w:tblGrid>
        <w:gridCol w:w="372"/>
        <w:gridCol w:w="311"/>
        <w:gridCol w:w="209"/>
        <w:gridCol w:w="109"/>
        <w:gridCol w:w="109"/>
        <w:gridCol w:w="109"/>
        <w:gridCol w:w="333"/>
        <w:gridCol w:w="335"/>
        <w:gridCol w:w="214"/>
        <w:gridCol w:w="109"/>
        <w:gridCol w:w="109"/>
        <w:gridCol w:w="109"/>
        <w:gridCol w:w="368"/>
        <w:gridCol w:w="368"/>
        <w:gridCol w:w="214"/>
        <w:gridCol w:w="109"/>
        <w:gridCol w:w="109"/>
        <w:gridCol w:w="109"/>
        <w:gridCol w:w="1692"/>
        <w:gridCol w:w="1471"/>
        <w:gridCol w:w="1491"/>
        <w:gridCol w:w="368"/>
        <w:gridCol w:w="368"/>
        <w:gridCol w:w="156"/>
        <w:gridCol w:w="368"/>
        <w:gridCol w:w="368"/>
        <w:gridCol w:w="218"/>
      </w:tblGrid>
      <w:tr>
        <w:trPr/>
        <w:tc>
          <w:tcPr>
            <w:tcW w:w="37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3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18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Full year</w:t>
            </w:r>
          </w:p>
        </w:tc>
      </w:tr>
      <w:tr>
        <w:trPr/>
        <w:tc>
          <w:tcPr>
            <w:tcW w:w="89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9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83"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536</w:t>
            </w:r>
            <w:r>
              <w:rPr>
                <w:color w:val="000000"/>
              </w:rPr>
              <w:t> </w:t>
            </w:r>
          </w:p>
        </w:tc>
        <w:tc>
          <w:tcPr>
            <w:tcW w:w="209"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7,176</w:t>
            </w:r>
            <w:r>
              <w:rPr>
                <w:color w:val="000000"/>
              </w:rPr>
              <w:t> </w:t>
            </w:r>
          </w:p>
        </w:tc>
        <w:tc>
          <w:tcPr>
            <w:tcW w:w="214"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10,469</w:t>
            </w:r>
            <w:r>
              <w:rPr>
                <w:color w:val="000000"/>
              </w:rPr>
              <w:t> </w:t>
            </w:r>
          </w:p>
        </w:tc>
        <w:tc>
          <w:tcPr>
            <w:tcW w:w="214"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Income/(loss) for the period</w:t>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19,638</w:t>
            </w:r>
            <w:r>
              <w:rPr>
                <w:color w:val="000000"/>
              </w:rPr>
              <w:t>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42,874</w:t>
            </w:r>
            <w:r>
              <w:rPr>
                <w:color w:val="000000"/>
              </w:rPr>
              <w:t> </w:t>
            </w:r>
          </w:p>
        </w:tc>
        <w:tc>
          <w:tcPr>
            <w:tcW w:w="218"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income/(loss) net of tax:</w:t>
            </w:r>
          </w:p>
        </w:tc>
        <w:tc>
          <w:tcPr>
            <w:tcW w:w="89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Items that may be reclassified to income in later periods:</w:t>
            </w:r>
          </w:p>
        </w:tc>
        <w:tc>
          <w:tcPr>
            <w:tcW w:w="89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Currency translation differences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Debt instruments remeasurements</w:t>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Times New Roman;sans-serif" w:hAnsi="Times New Roman;sans-serif"/>
                <w:b w:val="false"/>
                <w:color w:val="000000"/>
                <w:sz w:val="20"/>
              </w:rPr>
              <w:t>Cash flow hedging gains/(losses)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Times New Roman;sans-serif" w:hAnsi="Times New Roman;sans-serif"/>
                <w:b w:val="false"/>
                <w:color w:val="000000"/>
                <w:sz w:val="20"/>
              </w:rPr>
              <w:t>Net investment hedging gains/(losses)</w:t>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Deferred cost of hedging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Share of other comprehensive income/(loss) of joint ventures and associates</w:t>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2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w:t>
            </w:r>
          </w:p>
        </w:tc>
        <w:tc>
          <w:tcPr>
            <w:tcW w:w="21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21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w:t>
            </w:r>
          </w:p>
        </w:tc>
        <w:tc>
          <w:tcPr>
            <w:tcW w:w="21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Items that are not reclassified to income in later periods:</w:t>
            </w:r>
          </w:p>
        </w:tc>
        <w:tc>
          <w:tcPr>
            <w:tcW w:w="892"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Retirement benefits remeasurements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Equity instruments remeasurements</w:t>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Share of other comprehensive income/(loss) of joint ventures and associates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w:t>
            </w:r>
          </w:p>
        </w:tc>
        <w:tc>
          <w:tcPr>
            <w:tcW w:w="209"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14"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w:t>
            </w:r>
          </w:p>
        </w:tc>
        <w:tc>
          <w:tcPr>
            <w:tcW w:w="214"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4,722 </w:t>
            </w:r>
          </w:p>
        </w:tc>
        <w:tc>
          <w:tcPr>
            <w:tcW w:w="218"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1,215</w:t>
            </w:r>
            <w:r>
              <w:rPr>
                <w:color w:val="000000"/>
              </w:rPr>
              <w:t> </w:t>
            </w:r>
          </w:p>
        </w:tc>
        <w:tc>
          <w:tcPr>
            <w:tcW w:w="2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(1,270)</w:t>
            </w:r>
          </w:p>
        </w:tc>
        <w:tc>
          <w:tcPr>
            <w:tcW w:w="21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(51)</w:t>
            </w:r>
          </w:p>
        </w:tc>
        <w:tc>
          <w:tcPr>
            <w:tcW w:w="21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income/(loss) for the period</w:t>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2,080</w:t>
            </w:r>
            <w:r>
              <w:rPr>
                <w:color w:val="000000"/>
              </w:rPr>
              <w:t> </w:t>
            </w:r>
          </w:p>
        </w:tc>
        <w:tc>
          <w:tcPr>
            <w:tcW w:w="21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1,750</w:t>
            </w:r>
            <w:r>
              <w:rPr>
                <w:color w:val="000000"/>
              </w:rPr>
              <w:t> </w:t>
            </w:r>
          </w:p>
        </w:tc>
        <w:tc>
          <w:tcPr>
            <w:tcW w:w="209"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5,906</w:t>
            </w:r>
            <w:r>
              <w:rPr>
                <w:color w:val="000000"/>
              </w:rPr>
              <w:t> </w:t>
            </w:r>
          </w:p>
        </w:tc>
        <w:tc>
          <w:tcPr>
            <w:tcW w:w="214"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10,417</w:t>
            </w:r>
            <w:r>
              <w:rPr>
                <w:color w:val="000000"/>
              </w:rPr>
              <w:t> </w:t>
            </w:r>
          </w:p>
        </w:tc>
        <w:tc>
          <w:tcPr>
            <w:tcW w:w="214"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income/(loss) for the period</w:t>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19,590</w:t>
            </w:r>
            <w:r>
              <w:rPr>
                <w:color w:val="000000"/>
              </w:rPr>
              <w:t>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44,954</w:t>
            </w:r>
            <w:r>
              <w:rPr>
                <w:color w:val="000000"/>
              </w:rPr>
              <w:t> </w:t>
            </w:r>
          </w:p>
        </w:tc>
        <w:tc>
          <w:tcPr>
            <w:tcW w:w="218"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21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1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income/(loss) attributable to non-controlling interest</w:t>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21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1,654</w:t>
            </w:r>
            <w:r>
              <w:rPr>
                <w:color w:val="000000"/>
              </w:rPr>
              <w:t> </w:t>
            </w:r>
          </w:p>
        </w:tc>
        <w:tc>
          <w:tcPr>
            <w:tcW w:w="209"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5,757</w:t>
            </w:r>
            <w:r>
              <w:rPr>
                <w:color w:val="000000"/>
              </w:rPr>
              <w:t> </w:t>
            </w:r>
          </w:p>
        </w:tc>
        <w:tc>
          <w:tcPr>
            <w:tcW w:w="214"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10,303</w:t>
            </w:r>
            <w:r>
              <w:rPr>
                <w:color w:val="000000"/>
              </w:rPr>
              <w:t> </w:t>
            </w:r>
          </w:p>
        </w:tc>
        <w:tc>
          <w:tcPr>
            <w:tcW w:w="214"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income/(loss) attributable to Shell plc shareholders</w:t>
            </w:r>
          </w:p>
        </w:tc>
        <w:tc>
          <w:tcPr>
            <w:tcW w:w="736"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19,277</w:t>
            </w:r>
            <w:r>
              <w:rPr>
                <w:color w:val="000000"/>
              </w:rPr>
              <w:t> </w:t>
            </w:r>
          </w:p>
        </w:tc>
        <w:tc>
          <w:tcPr>
            <w:tcW w:w="156"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44,333</w:t>
            </w:r>
            <w:r>
              <w:rPr>
                <w:color w:val="000000"/>
              </w:rPr>
              <w:t> </w:t>
            </w:r>
          </w:p>
        </w:tc>
        <w:tc>
          <w:tcPr>
            <w:tcW w:w="218"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16</w:t>
                      </w:r>
                    </w:p>
                  </w:txbxContent>
                </v:textbox>
                <w10:wrap type="none"/>
              </v:rect>
            </w:pict>
          </mc:Fallback>
        </mc:AlternateConten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CONDENSED CONSOLIDATED BALANCE SHEET</w:t>
      </w:r>
    </w:p>
    <w:tbl>
      <w:tblPr>
        <w:tblW w:w="9262" w:type="dxa"/>
        <w:jc w:val="center"/>
        <w:tblInd w:w="0" w:type="dxa"/>
        <w:tblLayout w:type="fixed"/>
        <w:tblCellMar>
          <w:top w:w="28" w:type="dxa"/>
          <w:left w:w="28" w:type="dxa"/>
          <w:bottom w:w="28" w:type="dxa"/>
          <w:right w:w="28" w:type="dxa"/>
        </w:tblCellMar>
      </w:tblPr>
      <w:tblGrid>
        <w:gridCol w:w="2012"/>
        <w:gridCol w:w="1766"/>
        <w:gridCol w:w="1787"/>
        <w:gridCol w:w="109"/>
        <w:gridCol w:w="109"/>
        <w:gridCol w:w="109"/>
        <w:gridCol w:w="499"/>
        <w:gridCol w:w="499"/>
        <w:gridCol w:w="501"/>
        <w:gridCol w:w="109"/>
        <w:gridCol w:w="109"/>
        <w:gridCol w:w="109"/>
        <w:gridCol w:w="452"/>
        <w:gridCol w:w="452"/>
        <w:gridCol w:w="640"/>
      </w:tblGrid>
      <w:tr>
        <w:trPr/>
        <w:tc>
          <w:tcPr>
            <w:tcW w:w="2012"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56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16,039 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9,662 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Property, plant and equipment</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194,835 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198,642 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ventures and associates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24,457 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23,864 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Deferred tax</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7,815 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Retirement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9,151 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10,200 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6,298 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6,920 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instruments²</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272,154 </w:t>
            </w:r>
          </w:p>
        </w:tc>
        <w:tc>
          <w:tcPr>
            <w:tcW w:w="5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277,086 </w:t>
            </w:r>
          </w:p>
        </w:tc>
        <w:tc>
          <w:tcPr>
            <w:tcW w:w="6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26,019 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31,894 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53,273 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66,510 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instruments²</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15,098 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24,437 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38,774 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40,246 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133,164 </w:t>
            </w:r>
          </w:p>
        </w:tc>
        <w:tc>
          <w:tcPr>
            <w:tcW w:w="5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163,087 </w:t>
            </w:r>
          </w:p>
        </w:tc>
        <w:tc>
          <w:tcPr>
            <w:tcW w:w="6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Assets classified as held for sale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50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2,851 </w:t>
            </w:r>
          </w:p>
        </w:tc>
        <w:tc>
          <w:tcPr>
            <w:tcW w:w="6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134,115 </w:t>
            </w:r>
          </w:p>
        </w:tc>
        <w:tc>
          <w:tcPr>
            <w:tcW w:w="5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165,938 </w:t>
            </w:r>
          </w:p>
        </w:tc>
        <w:tc>
          <w:tcPr>
            <w:tcW w:w="6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406,269</w:t>
            </w:r>
            <w:r>
              <w:rPr>
                <w:color w:val="000000"/>
              </w:rPr>
              <w:t> </w:t>
            </w:r>
          </w:p>
        </w:tc>
        <w:tc>
          <w:tcPr>
            <w:tcW w:w="50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443,024</w:t>
            </w:r>
            <w:r>
              <w:rPr>
                <w:color w:val="000000"/>
              </w:rPr>
              <w:t> </w:t>
            </w:r>
          </w:p>
        </w:tc>
        <w:tc>
          <w:tcPr>
            <w:tcW w:w="6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71,610 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74,794 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instruments²</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Deferred tax</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15,347 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16,186 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Retirement benefits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7,549 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7,296 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Decommissioning and other provisions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22,531 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23,845 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122,440 </w:t>
            </w:r>
          </w:p>
        </w:tc>
        <w:tc>
          <w:tcPr>
            <w:tcW w:w="5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129,116 </w:t>
            </w:r>
          </w:p>
        </w:tc>
        <w:tc>
          <w:tcPr>
            <w:tcW w:w="6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9,931 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9,001 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68,237 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79,357 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instruments²</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9,529 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23,779 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Decommissioning and other provisions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95,161 </w:t>
            </w:r>
          </w:p>
        </w:tc>
        <w:tc>
          <w:tcPr>
            <w:tcW w:w="50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119,916 </w:t>
            </w:r>
          </w:p>
        </w:tc>
        <w:tc>
          <w:tcPr>
            <w:tcW w:w="6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Liabilities directly associated with assets classified as held for sale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5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6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95,468 </w:t>
            </w:r>
          </w:p>
        </w:tc>
        <w:tc>
          <w:tcPr>
            <w:tcW w:w="50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121,311 </w:t>
            </w:r>
          </w:p>
        </w:tc>
        <w:tc>
          <w:tcPr>
            <w:tcW w:w="6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217,908</w:t>
            </w:r>
            <w:r>
              <w:rPr>
                <w:color w:val="000000"/>
              </w:rPr>
              <w:t> </w:t>
            </w:r>
          </w:p>
        </w:tc>
        <w:tc>
          <w:tcPr>
            <w:tcW w:w="5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250,427</w:t>
            </w:r>
            <w:r>
              <w:rPr>
                <w:color w:val="000000"/>
              </w:rPr>
              <w:t> </w:t>
            </w:r>
          </w:p>
        </w:tc>
        <w:tc>
          <w:tcPr>
            <w:tcW w:w="6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attributable to Shell plc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186,606 </w:t>
            </w:r>
          </w:p>
        </w:tc>
        <w:tc>
          <w:tcPr>
            <w:tcW w:w="50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190,472 </w:t>
            </w:r>
          </w:p>
        </w:tc>
        <w:tc>
          <w:tcPr>
            <w:tcW w:w="6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Non-controlling interest</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188,361</w:t>
            </w:r>
            <w:r>
              <w:rPr>
                <w:color w:val="000000"/>
              </w:rPr>
              <w:t> </w:t>
            </w:r>
          </w:p>
        </w:tc>
        <w:tc>
          <w:tcPr>
            <w:tcW w:w="50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192,597</w:t>
            </w:r>
            <w:r>
              <w:rPr>
                <w:color w:val="000000"/>
              </w:rPr>
              <w:t> </w:t>
            </w:r>
          </w:p>
        </w:tc>
        <w:tc>
          <w:tcPr>
            <w:tcW w:w="6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406,269</w:t>
            </w:r>
            <w:r>
              <w:rPr>
                <w:color w:val="000000"/>
              </w:rPr>
              <w:t> </w:t>
            </w:r>
          </w:p>
        </w:tc>
        <w:tc>
          <w:tcPr>
            <w:tcW w:w="501"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443,024</w:t>
            </w:r>
            <w:r>
              <w:rPr>
                <w:color w:val="000000"/>
              </w:rPr>
              <w:t> </w:t>
            </w:r>
          </w:p>
        </w:tc>
        <w:tc>
          <w:tcPr>
            <w:tcW w:w="640"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1.    </w:t>
      </w:r>
      <w:r>
        <w:rPr>
          <w:rFonts w:ascii="Times New Roman;sans-serif" w:hAnsi="Times New Roman;sans-serif"/>
          <w:b w:val="false"/>
          <w:color w:val="000000"/>
          <w:sz w:val="20"/>
        </w:rPr>
        <w:t>See Note 8 “Other notes to the unaudited Condensed Consolidated Financial Statements”.</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2.</w:t>
      </w:r>
      <w:r>
        <w:rPr>
          <w:color w:val="000000"/>
        </w:rPr>
        <w:t>    </w:t>
      </w:r>
      <w:r>
        <w:rPr>
          <w:rFonts w:ascii="Times New Roman;sans-serif" w:hAnsi="Times New Roman;sans-serif"/>
          <w:b w:val="false"/>
          <w:color w:val="000000"/>
          <w:sz w:val="20"/>
        </w:rPr>
        <w:t>See Note 7 “Derivative financial instruments and debt excluding lease liabilities”.</w: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17</w:t>
                      </w:r>
                    </w:p>
                  </w:txbxContent>
                </v:textbox>
                <w10:wrap type="none"/>
              </v:rect>
            </w:pict>
          </mc:Fallback>
        </mc:AlternateConten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CONSOLIDATED STATEMENT OF CHANGES IN EQUITY</w:t>
      </w:r>
    </w:p>
    <w:tbl>
      <w:tblPr>
        <w:tblW w:w="10205" w:type="dxa"/>
        <w:jc w:val="center"/>
        <w:tblInd w:w="0" w:type="dxa"/>
        <w:tblLayout w:type="fixed"/>
        <w:tblCellMar>
          <w:top w:w="28" w:type="dxa"/>
          <w:left w:w="28" w:type="dxa"/>
          <w:bottom w:w="28" w:type="dxa"/>
          <w:right w:w="28" w:type="dxa"/>
        </w:tblCellMar>
      </w:tblPr>
      <w:tblGrid>
        <w:gridCol w:w="636"/>
        <w:gridCol w:w="503"/>
        <w:gridCol w:w="279"/>
        <w:gridCol w:w="262"/>
        <w:gridCol w:w="221"/>
        <w:gridCol w:w="222"/>
        <w:gridCol w:w="288"/>
        <w:gridCol w:w="198"/>
        <w:gridCol w:w="199"/>
        <w:gridCol w:w="109"/>
        <w:gridCol w:w="109"/>
        <w:gridCol w:w="109"/>
        <w:gridCol w:w="404"/>
        <w:gridCol w:w="332"/>
        <w:gridCol w:w="232"/>
        <w:gridCol w:w="109"/>
        <w:gridCol w:w="109"/>
        <w:gridCol w:w="109"/>
        <w:gridCol w:w="109"/>
        <w:gridCol w:w="109"/>
        <w:gridCol w:w="109"/>
        <w:gridCol w:w="469"/>
        <w:gridCol w:w="372"/>
        <w:gridCol w:w="253"/>
        <w:gridCol w:w="109"/>
        <w:gridCol w:w="109"/>
        <w:gridCol w:w="109"/>
        <w:gridCol w:w="420"/>
        <w:gridCol w:w="421"/>
        <w:gridCol w:w="166"/>
        <w:gridCol w:w="109"/>
        <w:gridCol w:w="109"/>
        <w:gridCol w:w="109"/>
        <w:gridCol w:w="421"/>
        <w:gridCol w:w="421"/>
        <w:gridCol w:w="422"/>
        <w:gridCol w:w="109"/>
        <w:gridCol w:w="109"/>
        <w:gridCol w:w="109"/>
        <w:gridCol w:w="420"/>
        <w:gridCol w:w="421"/>
        <w:gridCol w:w="261"/>
      </w:tblGrid>
      <w:tr>
        <w:trPr/>
        <w:tc>
          <w:tcPr>
            <w:tcW w:w="63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attributable to Shell plc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million</w:t>
            </w:r>
          </w:p>
        </w:tc>
        <w:tc>
          <w:tcPr>
            <w:tcW w:w="7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56" w:before="0" w:after="0"/>
              <w:jc w:val="center"/>
              <w:rPr/>
            </w:pPr>
            <w:r>
              <w:rPr>
                <w:rFonts w:ascii="Times New Roman;sans-serif" w:hAnsi="Times New Roman;sans-serif"/>
                <w:b/>
                <w:color w:val="000000"/>
                <w:sz w:val="16"/>
              </w:rPr>
              <w:t>Share capital</w:t>
            </w:r>
            <w:r>
              <w:rPr>
                <w:rFonts w:ascii="Times New Roman;sans-serif" w:hAnsi="Times New Roman;sans-serif"/>
                <w:b/>
                <w:color w:val="000000"/>
                <w:sz w:val="10"/>
              </w:rPr>
              <w:t>1</w:t>
            </w:r>
          </w:p>
        </w:tc>
        <w:tc>
          <w:tcPr>
            <w:tcW w:w="6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held in trust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reserves²</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41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At January 1, 2023</w:t>
            </w:r>
          </w:p>
        </w:tc>
        <w:tc>
          <w:tcPr>
            <w:tcW w:w="48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584</w:t>
            </w:r>
            <w:r>
              <w:rPr>
                <w:color w:val="000000"/>
              </w:rPr>
              <w:t> </w:t>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(726)</w:t>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21,132</w:t>
            </w:r>
            <w:r>
              <w:rPr>
                <w:color w:val="000000"/>
              </w:rPr>
              <w:t> </w:t>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169,482</w:t>
            </w:r>
            <w:r>
              <w:rPr>
                <w:color w:val="000000"/>
              </w:rPr>
              <w:t> </w:t>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190,472</w:t>
            </w:r>
            <w:r>
              <w:rPr>
                <w:color w:val="000000"/>
              </w:rPr>
              <w:t>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2,125</w:t>
            </w:r>
            <w:r>
              <w:rPr>
                <w:color w:val="000000"/>
              </w:rPr>
              <w:t> </w:t>
            </w:r>
          </w:p>
        </w:tc>
        <w:tc>
          <w:tcPr>
            <w:tcW w:w="4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192,597</w:t>
            </w:r>
            <w:r>
              <w:rPr>
                <w:color w:val="000000"/>
              </w:rPr>
              <w:t> </w:t>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income/(loss) for the period</w:t>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from other comprehensive income</w:t>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Dividends³</w:t>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(8,389)</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Repurchases of shares</w:t>
            </w:r>
            <w:r>
              <w:rPr>
                <w:rFonts w:ascii="Times New Roman;sans-serif" w:hAnsi="Times New Roman;sans-serif"/>
                <w:b w:val="false"/>
                <w:color w:val="000000"/>
                <w:sz w:val="13"/>
              </w:rPr>
              <w:t>4</w:t>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(14,571)</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(14,571)</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changes</w:t>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At December 31, 2023</w:t>
            </w:r>
          </w:p>
        </w:tc>
        <w:tc>
          <w:tcPr>
            <w:tcW w:w="48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544</w:t>
            </w:r>
            <w:r>
              <w:rPr>
                <w:color w:val="000000"/>
              </w:rPr>
              <w:t> </w:t>
            </w:r>
          </w:p>
        </w:tc>
        <w:tc>
          <w:tcPr>
            <w:tcW w:w="2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(998)</w:t>
            </w:r>
          </w:p>
        </w:tc>
        <w:tc>
          <w:tcPr>
            <w:tcW w:w="19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21,145</w:t>
            </w:r>
            <w:r>
              <w:rPr>
                <w:color w:val="000000"/>
              </w:rPr>
              <w:t> </w:t>
            </w:r>
          </w:p>
        </w:tc>
        <w:tc>
          <w:tcPr>
            <w:tcW w:w="23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165,915</w:t>
            </w:r>
            <w:r>
              <w:rPr>
                <w:color w:val="000000"/>
              </w:rPr>
              <w:t> </w:t>
            </w:r>
          </w:p>
        </w:tc>
        <w:tc>
          <w:tcPr>
            <w:tcW w:w="25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186,606</w:t>
            </w:r>
            <w:r>
              <w:rPr>
                <w:color w:val="000000"/>
              </w:rPr>
              <w:t> </w:t>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1,755</w:t>
            </w:r>
            <w:r>
              <w:rPr>
                <w:color w:val="000000"/>
              </w:rPr>
              <w:t> </w:t>
            </w:r>
          </w:p>
        </w:tc>
        <w:tc>
          <w:tcPr>
            <w:tcW w:w="4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188,361</w:t>
            </w:r>
            <w:r>
              <w:rPr>
                <w:color w:val="000000"/>
              </w:rPr>
              <w:t> </w:t>
            </w:r>
          </w:p>
        </w:tc>
        <w:tc>
          <w:tcPr>
            <w:tcW w:w="2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At January 1, 2022</w:t>
            </w:r>
          </w:p>
        </w:tc>
        <w:tc>
          <w:tcPr>
            <w:tcW w:w="48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641</w:t>
            </w:r>
            <w:r>
              <w:rPr>
                <w:color w:val="000000"/>
              </w:rPr>
              <w:t> </w:t>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(610)</w:t>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18,909</w:t>
            </w:r>
            <w:r>
              <w:rPr>
                <w:color w:val="000000"/>
              </w:rPr>
              <w:t> </w:t>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153,026</w:t>
            </w:r>
            <w:r>
              <w:rPr>
                <w:color w:val="000000"/>
              </w:rPr>
              <w:t> </w:t>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171,966</w:t>
            </w:r>
            <w:r>
              <w:rPr>
                <w:color w:val="000000"/>
              </w:rPr>
              <w:t>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3,360</w:t>
            </w:r>
            <w:r>
              <w:rPr>
                <w:color w:val="000000"/>
              </w:rPr>
              <w:t> </w:t>
            </w:r>
          </w:p>
        </w:tc>
        <w:tc>
          <w:tcPr>
            <w:tcW w:w="4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175,326</w:t>
            </w:r>
            <w:r>
              <w:rPr>
                <w:color w:val="000000"/>
              </w:rPr>
              <w:t> </w:t>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income/(loss) for the period</w:t>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from other comprehensive income</w:t>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Dividends</w:t>
            </w:r>
            <w:r>
              <w:rPr>
                <w:rFonts w:ascii="Times New Roman;sans-serif" w:hAnsi="Times New Roman;sans-serif"/>
                <w:b w:val="false"/>
                <w:color w:val="000000"/>
                <w:sz w:val="13"/>
              </w:rPr>
              <w:t>3</w:t>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(7,283)</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(7,489)</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Repurchases of shares</w:t>
            </w:r>
            <w:r>
              <w:rPr>
                <w:rFonts w:ascii="Times New Roman;sans-serif" w:hAnsi="Times New Roman;sans-serif"/>
                <w:b w:val="false"/>
                <w:color w:val="000000"/>
                <w:sz w:val="13"/>
              </w:rPr>
              <w:t>4</w:t>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(18,547)</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(18,547)</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changes</w:t>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At December 31, 2022</w:t>
            </w:r>
          </w:p>
        </w:tc>
        <w:tc>
          <w:tcPr>
            <w:tcW w:w="483"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584</w:t>
            </w:r>
            <w:r>
              <w:rPr>
                <w:color w:val="000000"/>
              </w:rPr>
              <w:t> </w:t>
            </w:r>
          </w:p>
        </w:tc>
        <w:tc>
          <w:tcPr>
            <w:tcW w:w="222"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(726)</w:t>
            </w:r>
          </w:p>
        </w:tc>
        <w:tc>
          <w:tcPr>
            <w:tcW w:w="19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21,132</w:t>
            </w:r>
            <w:r>
              <w:rPr>
                <w:color w:val="000000"/>
              </w:rPr>
              <w:t> </w:t>
            </w:r>
          </w:p>
        </w:tc>
        <w:tc>
          <w:tcPr>
            <w:tcW w:w="232"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169,482</w:t>
            </w:r>
            <w:r>
              <w:rPr>
                <w:color w:val="000000"/>
              </w:rPr>
              <w:t> </w:t>
            </w:r>
          </w:p>
        </w:tc>
        <w:tc>
          <w:tcPr>
            <w:tcW w:w="253"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190,472</w:t>
            </w:r>
            <w:r>
              <w:rPr>
                <w:color w:val="000000"/>
              </w:rPr>
              <w:t> </w:t>
            </w:r>
          </w:p>
        </w:tc>
        <w:tc>
          <w:tcPr>
            <w:tcW w:w="16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2,125</w:t>
            </w:r>
            <w:r>
              <w:rPr>
                <w:color w:val="000000"/>
              </w:rPr>
              <w:t> </w:t>
            </w:r>
          </w:p>
        </w:tc>
        <w:tc>
          <w:tcPr>
            <w:tcW w:w="422"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192,597</w:t>
            </w:r>
            <w:r>
              <w:rPr>
                <w:color w:val="000000"/>
              </w:rPr>
              <w:t> </w:t>
            </w:r>
          </w:p>
        </w:tc>
        <w:tc>
          <w:tcPr>
            <w:tcW w:w="26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pPr>
      <w:r>
        <w:rPr>
          <w:rFonts w:ascii="Times New Roman;sans-serif" w:hAnsi="Times New Roman;sans-serif"/>
          <w:b w:val="false"/>
          <w:color w:val="000000"/>
          <w:sz w:val="13"/>
        </w:rPr>
        <w:t>1.    </w:t>
      </w:r>
      <w:r>
        <w:rPr>
          <w:rFonts w:ascii="Times New Roman;sans-serif" w:hAnsi="Times New Roman;sans-serif"/>
          <w:b w:val="false"/>
          <w:color w:val="000000"/>
          <w:sz w:val="20"/>
        </w:rPr>
        <w:t xml:space="preserve">See Note 5 “Share capital”. </w:t>
      </w:r>
    </w:p>
    <w:p>
      <w:pPr>
        <w:pStyle w:val="TextBody"/>
        <w:bidi w:val="0"/>
        <w:spacing w:lineRule="auto" w:line="288" w:before="0" w:after="0"/>
        <w:ind w:left="0" w:right="0" w:hanging="540"/>
        <w:jc w:val="left"/>
        <w:rPr/>
      </w:pPr>
      <w:r>
        <w:rPr>
          <w:rFonts w:ascii="Times New Roman;sans-serif" w:hAnsi="Times New Roman;sans-serif"/>
          <w:b w:val="false"/>
          <w:color w:val="000000"/>
          <w:sz w:val="13"/>
        </w:rPr>
        <w:t>2.    </w:t>
      </w:r>
      <w:r>
        <w:rPr>
          <w:rFonts w:ascii="Times New Roman;sans-serif" w:hAnsi="Times New Roman;sans-serif"/>
          <w:b w:val="false"/>
          <w:color w:val="000000"/>
          <w:sz w:val="20"/>
        </w:rPr>
        <w:t xml:space="preserve">See Note 6 “Other reserves”. </w:t>
      </w:r>
    </w:p>
    <w:p>
      <w:pPr>
        <w:pStyle w:val="TextBody"/>
        <w:bidi w:val="0"/>
        <w:spacing w:lineRule="auto" w:line="288" w:before="0" w:after="0"/>
        <w:ind w:left="0" w:right="0" w:hanging="540"/>
        <w:jc w:val="left"/>
        <w:rPr/>
      </w:pPr>
      <w:r>
        <w:rPr>
          <w:rFonts w:ascii="Times New Roman;sans-serif" w:hAnsi="Times New Roman;sans-serif"/>
          <w:b w:val="false"/>
          <w:color w:val="000000"/>
          <w:sz w:val="13"/>
        </w:rPr>
        <w:t>3.    </w:t>
      </w:r>
      <w:r>
        <w:rPr>
          <w:rFonts w:ascii="Times New Roman;sans-serif" w:hAnsi="Times New Roman;sans-serif"/>
          <w:b w:val="false"/>
          <w:color w:val="000000"/>
          <w:sz w:val="20"/>
        </w:rPr>
        <w:t xml:space="preserve">The amount charged to retained earnings is based on prevailing exchange rates on payment date. </w:t>
      </w:r>
    </w:p>
    <w:p>
      <w:pPr>
        <w:pStyle w:val="TextBody"/>
        <w:bidi w:val="0"/>
        <w:spacing w:lineRule="auto" w:line="268" w:before="0" w:after="0"/>
        <w:ind w:left="0" w:right="0" w:hanging="54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Includes shares committed to repurchase under an irrevocable contract and repurchases subject to settlement at the end of the quarter.</w:t>
      </w:r>
    </w:p>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18</w:t>
                      </w:r>
                    </w:p>
                  </w:txbxContent>
                </v:textbox>
                <w10:wrap type="none"/>
              </v:rect>
            </w:pict>
          </mc:Fallback>
        </mc:AlternateConten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CONSOLIDATED STATEMENT OF CASH FLOWS</w:t>
      </w:r>
    </w:p>
    <w:tbl>
      <w:tblPr>
        <w:tblW w:w="10205" w:type="dxa"/>
        <w:jc w:val="left"/>
        <w:tblInd w:w="0" w:type="dxa"/>
        <w:tblLayout w:type="fixed"/>
        <w:tblCellMar>
          <w:top w:w="28" w:type="dxa"/>
          <w:left w:w="28" w:type="dxa"/>
          <w:bottom w:w="28" w:type="dxa"/>
          <w:right w:w="28" w:type="dxa"/>
        </w:tblCellMar>
      </w:tblPr>
      <w:tblGrid>
        <w:gridCol w:w="410"/>
        <w:gridCol w:w="366"/>
        <w:gridCol w:w="191"/>
        <w:gridCol w:w="109"/>
        <w:gridCol w:w="109"/>
        <w:gridCol w:w="109"/>
        <w:gridCol w:w="367"/>
        <w:gridCol w:w="369"/>
        <w:gridCol w:w="195"/>
        <w:gridCol w:w="109"/>
        <w:gridCol w:w="109"/>
        <w:gridCol w:w="109"/>
        <w:gridCol w:w="379"/>
        <w:gridCol w:w="382"/>
        <w:gridCol w:w="195"/>
        <w:gridCol w:w="109"/>
        <w:gridCol w:w="1852"/>
        <w:gridCol w:w="1408"/>
        <w:gridCol w:w="1429"/>
        <w:gridCol w:w="379"/>
        <w:gridCol w:w="382"/>
        <w:gridCol w:w="156"/>
        <w:gridCol w:w="379"/>
        <w:gridCol w:w="382"/>
        <w:gridCol w:w="221"/>
      </w:tblGrid>
      <w:tr>
        <w:trPr/>
        <w:tc>
          <w:tcPr>
            <w:tcW w:w="41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18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Full year</w:t>
            </w:r>
          </w:p>
        </w:tc>
      </w:tr>
      <w:tr>
        <w:trPr/>
        <w:tc>
          <w:tcPr>
            <w:tcW w:w="96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98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7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19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11,291 </w:t>
            </w:r>
          </w:p>
        </w:tc>
        <w:tc>
          <w:tcPr>
            <w:tcW w:w="195"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16,443 </w:t>
            </w:r>
          </w:p>
        </w:tc>
        <w:tc>
          <w:tcPr>
            <w:tcW w:w="195"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taxation for the period</w:t>
            </w:r>
          </w:p>
        </w:tc>
        <w:tc>
          <w:tcPr>
            <w:tcW w:w="76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32,628 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64,815 </w:t>
            </w:r>
          </w:p>
        </w:tc>
        <w:tc>
          <w:tcPr>
            <w:tcW w:w="22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w:t>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Interest expense (net)</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ans-serif" w:hAnsi="Times New Roman;sans-serif"/>
                <w:b w:val="false"/>
                <w:color w:val="000000"/>
                <w:sz w:val="20"/>
              </w:rPr>
              <w:t>Depreciation, depletion and amortisation</w:t>
            </w:r>
            <w:r>
              <w:rPr>
                <w:rFonts w:ascii="Times New Roman;sans-serif" w:hAnsi="Times New Roman;sans-serif"/>
                <w:b w:val="false"/>
                <w:color w:val="000000"/>
                <w:sz w:val="13"/>
              </w:rPr>
              <w:t>1</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Exploration well write-offs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 xml:space="preserve">Net (gains)/losses on sale and revaluation of non-current assets and businesses </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Share of (profit)/loss of joint ventures and associates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Dividends received from joint ventures and associates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(Increase)/decrease in inventories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(Increase)/decrease in current receivables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Increase/(decrease) in current payables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Derivative financial instruments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Times New Roman;sans-serif" w:hAnsi="Times New Roman;sans-serif"/>
                <w:b w:val="false"/>
                <w:color w:val="000000"/>
                <w:sz w:val="20"/>
              </w:rPr>
              <w:t>Retirement benefits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Times New Roman;sans-serif" w:hAnsi="Times New Roman;sans-serif"/>
                <w:b w:val="false"/>
                <w:color w:val="000000"/>
                <w:sz w:val="20"/>
              </w:rPr>
              <w:t>Decommissioning and other provisions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paid</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12,575</w:t>
            </w:r>
            <w:r>
              <w:rPr>
                <w:color w:val="000000"/>
              </w:rPr>
              <w:t> </w:t>
            </w:r>
          </w:p>
        </w:tc>
        <w:tc>
          <w:tcPr>
            <w:tcW w:w="19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12,332</w:t>
            </w:r>
            <w:r>
              <w:rPr>
                <w:color w:val="000000"/>
              </w:rPr>
              <w:t> </w:t>
            </w:r>
          </w:p>
        </w:tc>
        <w:tc>
          <w:tcPr>
            <w:tcW w:w="195"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22,404</w:t>
            </w:r>
            <w:r>
              <w:rPr>
                <w:color w:val="000000"/>
              </w:rPr>
              <w:t> </w:t>
            </w:r>
          </w:p>
        </w:tc>
        <w:tc>
          <w:tcPr>
            <w:tcW w:w="195"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operating activities</w:t>
            </w:r>
          </w:p>
        </w:tc>
        <w:tc>
          <w:tcPr>
            <w:tcW w:w="76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54,196</w:t>
            </w:r>
            <w:r>
              <w:rPr>
                <w:color w:val="000000"/>
              </w:rPr>
              <w:t>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68,414</w:t>
            </w:r>
            <w:r>
              <w:rPr>
                <w:color w:val="000000"/>
              </w:rPr>
              <w:t> </w:t>
            </w:r>
          </w:p>
        </w:tc>
        <w:tc>
          <w:tcPr>
            <w:tcW w:w="22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w:t>
            </w:r>
          </w:p>
        </w:tc>
        <w:tc>
          <w:tcPr>
            <w:tcW w:w="19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(5,259)</w:t>
            </w:r>
          </w:p>
        </w:tc>
        <w:tc>
          <w:tcPr>
            <w:tcW w:w="19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(6,417)</w:t>
            </w:r>
          </w:p>
        </w:tc>
        <w:tc>
          <w:tcPr>
            <w:tcW w:w="19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w:t>
            </w:r>
          </w:p>
        </w:tc>
        <w:tc>
          <w:tcPr>
            <w:tcW w:w="76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(22,993)</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(22,600)</w:t>
            </w:r>
          </w:p>
        </w:tc>
        <w:tc>
          <w:tcPr>
            <w:tcW w:w="22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joint ventures and associates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equity securities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plant and equipment and businesses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joint ventures and associates from sale, capital reduction and repayment of long-term loans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equity securities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received</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cash inflows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cash outflows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(5,657)</w:t>
            </w:r>
          </w:p>
        </w:tc>
        <w:tc>
          <w:tcPr>
            <w:tcW w:w="19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(4,827)</w:t>
            </w:r>
          </w:p>
        </w:tc>
        <w:tc>
          <w:tcPr>
            <w:tcW w:w="195"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(6,918)</w:t>
            </w:r>
          </w:p>
        </w:tc>
        <w:tc>
          <w:tcPr>
            <w:tcW w:w="195"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investing activities</w:t>
            </w:r>
          </w:p>
        </w:tc>
        <w:tc>
          <w:tcPr>
            <w:tcW w:w="76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(17,737)</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(22,448)</w:t>
            </w:r>
          </w:p>
        </w:tc>
        <w:tc>
          <w:tcPr>
            <w:tcW w:w="22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9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9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9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increase/(decrease) in debt with maturity period within three months</w:t>
            </w:r>
          </w:p>
        </w:tc>
        <w:tc>
          <w:tcPr>
            <w:tcW w:w="76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2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w:t>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 xml:space="preserve">– </w:t>
            </w:r>
            <w:r>
              <w:rPr>
                <w:rFonts w:ascii="Times New Roman;sans-serif" w:hAnsi="Times New Roman;sans-serif"/>
                <w:b w:val="false"/>
                <w:color w:val="000000"/>
                <w:sz w:val="20"/>
              </w:rPr>
              <w:t>New borrowings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Repayments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non-controlling interest</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paid to:</w:t>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Shell plc shareholders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Non-controlling interest</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shares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held in trust: net sales/(purchases) and dividends received</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(11,703)</w:t>
            </w:r>
          </w:p>
        </w:tc>
        <w:tc>
          <w:tcPr>
            <w:tcW w:w="19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(9,147)</w:t>
            </w:r>
          </w:p>
        </w:tc>
        <w:tc>
          <w:tcPr>
            <w:tcW w:w="19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(12,078)</w:t>
            </w:r>
          </w:p>
        </w:tc>
        <w:tc>
          <w:tcPr>
            <w:tcW w:w="19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financing activities</w:t>
            </w:r>
          </w:p>
        </w:tc>
        <w:tc>
          <w:tcPr>
            <w:tcW w:w="76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(38,238)</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(41,954)</w:t>
            </w:r>
          </w:p>
        </w:tc>
        <w:tc>
          <w:tcPr>
            <w:tcW w:w="22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9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195"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195"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 changes on cash and cash equivalents</w:t>
            </w:r>
          </w:p>
        </w:tc>
        <w:tc>
          <w:tcPr>
            <w:tcW w:w="76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22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(4,256)</w:t>
            </w:r>
          </w:p>
        </w:tc>
        <w:tc>
          <w:tcPr>
            <w:tcW w:w="19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(2,063)</w:t>
            </w:r>
          </w:p>
        </w:tc>
        <w:tc>
          <w:tcPr>
            <w:tcW w:w="19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4,268</w:t>
            </w:r>
            <w:r>
              <w:rPr>
                <w:color w:val="000000"/>
              </w:rPr>
              <w:t> </w:t>
            </w:r>
          </w:p>
        </w:tc>
        <w:tc>
          <w:tcPr>
            <w:tcW w:w="19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Increase/(decrease) in cash and cash equivalents</w:t>
            </w:r>
          </w:p>
        </w:tc>
        <w:tc>
          <w:tcPr>
            <w:tcW w:w="76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(1,471)</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3,276</w:t>
            </w:r>
            <w:r>
              <w:rPr>
                <w:color w:val="000000"/>
              </w:rPr>
              <w:t> </w:t>
            </w:r>
          </w:p>
        </w:tc>
        <w:tc>
          <w:tcPr>
            <w:tcW w:w="22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43,031</w:t>
            </w:r>
            <w:r>
              <w:rPr>
                <w:color w:val="000000"/>
              </w:rPr>
              <w:t> </w:t>
            </w:r>
          </w:p>
        </w:tc>
        <w:tc>
          <w:tcPr>
            <w:tcW w:w="19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45,094</w:t>
            </w:r>
            <w:r>
              <w:rPr>
                <w:color w:val="000000"/>
              </w:rPr>
              <w:t> </w:t>
            </w:r>
          </w:p>
        </w:tc>
        <w:tc>
          <w:tcPr>
            <w:tcW w:w="195"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35,978</w:t>
            </w:r>
            <w:r>
              <w:rPr>
                <w:color w:val="000000"/>
              </w:rPr>
              <w:t> </w:t>
            </w:r>
          </w:p>
        </w:tc>
        <w:tc>
          <w:tcPr>
            <w:tcW w:w="195"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beginning of period</w:t>
            </w:r>
          </w:p>
        </w:tc>
        <w:tc>
          <w:tcPr>
            <w:tcW w:w="76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40,246</w:t>
            </w:r>
            <w:r>
              <w:rPr>
                <w:color w:val="000000"/>
              </w:rPr>
              <w:t>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36,970</w:t>
            </w:r>
            <w:r>
              <w:rPr>
                <w:color w:val="000000"/>
              </w:rPr>
              <w:t> </w:t>
            </w:r>
          </w:p>
        </w:tc>
        <w:tc>
          <w:tcPr>
            <w:tcW w:w="22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38,774</w:t>
            </w:r>
            <w:r>
              <w:rPr>
                <w:color w:val="000000"/>
              </w:rPr>
              <w:t> </w:t>
            </w:r>
          </w:p>
        </w:tc>
        <w:tc>
          <w:tcPr>
            <w:tcW w:w="191"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43,031</w:t>
            </w:r>
            <w:r>
              <w:rPr>
                <w:color w:val="000000"/>
              </w:rPr>
              <w:t> </w:t>
            </w:r>
          </w:p>
        </w:tc>
        <w:tc>
          <w:tcPr>
            <w:tcW w:w="195"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40,246</w:t>
            </w:r>
            <w:r>
              <w:rPr>
                <w:color w:val="000000"/>
              </w:rPr>
              <w:t> </w:t>
            </w:r>
          </w:p>
        </w:tc>
        <w:tc>
          <w:tcPr>
            <w:tcW w:w="195"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9"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end of period</w:t>
            </w:r>
          </w:p>
        </w:tc>
        <w:tc>
          <w:tcPr>
            <w:tcW w:w="761"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38,774</w:t>
            </w:r>
            <w:r>
              <w:rPr>
                <w:color w:val="000000"/>
              </w:rPr>
              <w:t> </w:t>
            </w:r>
          </w:p>
        </w:tc>
        <w:tc>
          <w:tcPr>
            <w:tcW w:w="156"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40,246</w:t>
            </w:r>
            <w:r>
              <w:rPr>
                <w:color w:val="000000"/>
              </w:rPr>
              <w:t> </w:t>
            </w:r>
          </w:p>
        </w:tc>
        <w:tc>
          <w:tcPr>
            <w:tcW w:w="221"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See Note 8 “Other notes to the unaudited Condensed Consolidated Financial Statements”.</w:t>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19</w:t>
                      </w:r>
                    </w:p>
                  </w:txbxContent>
                </v:textbox>
                <w10:wrap type="none"/>
              </v:rect>
            </w:pict>
          </mc:Fallback>
        </mc:AlternateContent>
      </w:r>
    </w:p>
    <w:p>
      <w:pPr>
        <w:pStyle w:val="TextBody"/>
        <w:bidi w:val="0"/>
        <w:spacing w:lineRule="auto" w:line="276" w:before="200" w:after="200"/>
        <w:jc w:val="left"/>
        <w:rPr>
          <w:rFonts w:ascii="Times New Roman;sans-serif" w:hAnsi="Times New Roman;sans-serif"/>
          <w:b/>
          <w:color w:val="FF0000"/>
          <w:sz w:val="20"/>
        </w:rPr>
      </w:pPr>
      <w:r>
        <w:rPr>
          <w:rFonts w:ascii="Times New Roman;sans-serif" w:hAnsi="Times New Roman;sans-serif"/>
          <w:b/>
          <w:color w:val="FF0000"/>
          <w:sz w:val="20"/>
        </w:rPr>
        <w:t xml:space="preserve">NOTES TO THE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ans-serif" w:hAnsi="Times New Roman;sans-serif"/>
          <w:b/>
          <w:color w:val="000000"/>
          <w:sz w:val="20"/>
        </w:rPr>
      </w:pPr>
      <w:r>
        <w:rPr>
          <w:rFonts w:ascii="Times New Roman;sans-serif" w:hAnsi="Times New Roman;sans-serif"/>
          <w:b/>
          <w:color w:val="000000"/>
          <w:sz w:val="20"/>
        </w:rPr>
        <w:t xml:space="preserve">1.    Basis of preparation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unaudited Condensed Consolidated Financial Statements of Shell plc (“the Company”) and its subsidiaries (collectively referred to as “Shell”) have been prepared on the basis of the same accounting principles as those used in the Company's Annual Report and Accounts (pages 237 to 307) for the year ended December 31, 2022 as filed with the Registrar of Companies for England and Wales and the Autoriteit Financiële Markten (the Netherlands) and Form 20-F (pages 216 to 287) for the year ended December 31, 2022 as filed with the US Securities and Exchange Commission, and should be read in conjunction with these filings.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information presented in the unaudited Condensed Consolidated Financial Statements does not constitute statutory accounts within the meaning of section 434(3) of the Companies Act 2006 (“the Act”). Statutory accounts for the year ended December 31, 2022 were published in Shell's Annual Report and Accounts, a copy of which was delivered to the Registrar of Companies for England and Wales, and in Shell's Form 20-F. The auditor's report on those accounts was unqualified, did not include a reference to any matters to which the auditor drew attention by way of emphasis without qualifying the report and did not contain a statement under sections 498(2) or 498(3) of the Act. The statutory accounts for the year ended December 31, 2023 will be delivered to the Registrar of Companies for England and Wales in due course.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consolidation, assets and liabilities of non-dollar entities are translated to dollars at period-end rates of exchange, while their statements of income, other comprehensive income and cash flows are translated at average rates. Until the end of 2022 this translation was performed at quarterly average rates. As from January 1, 2023 this translation is performed at monthly average rates. This change had no significant impact on Shell's financial reporting. </w:t>
      </w:r>
    </w:p>
    <w:p>
      <w:pPr>
        <w:pStyle w:val="TextBody"/>
        <w:bidi w:val="0"/>
        <w:spacing w:lineRule="auto" w:line="268" w:before="120" w:after="120"/>
        <w:jc w:val="left"/>
        <w:rPr>
          <w:rFonts w:ascii="Times New Roman;sans-serif" w:hAnsi="Times New Roman;sans-serif"/>
          <w:b/>
          <w:color w:val="000000"/>
          <w:sz w:val="20"/>
        </w:rPr>
      </w:pPr>
      <w:r>
        <w:rPr>
          <w:rFonts w:ascii="Times New Roman;sans-serif" w:hAnsi="Times New Roman;sans-serif"/>
          <w:b/>
          <w:color w:val="000000"/>
          <w:sz w:val="20"/>
        </w:rPr>
        <w:t>New standards adopted in 2023</w:t>
      </w:r>
    </w:p>
    <w:p>
      <w:pPr>
        <w:pStyle w:val="TextBody"/>
        <w:bidi w:val="0"/>
        <w:spacing w:lineRule="auto" w:line="288" w:before="120" w:after="120"/>
        <w:jc w:val="left"/>
        <w:rPr/>
      </w:pPr>
      <w:r>
        <w:rPr>
          <w:rFonts w:ascii="Times New Roman;sans-serif" w:hAnsi="Times New Roman;sans-serif"/>
          <w:b w:val="false"/>
          <w:color w:val="000000"/>
          <w:sz w:val="20"/>
        </w:rPr>
        <w:t xml:space="preserve">IFRS 17 </w:t>
      </w:r>
      <w:r>
        <w:rPr>
          <w:rFonts w:ascii="Times New Roman;sans-serif" w:hAnsi="Times New Roman;sans-serif"/>
          <w:b w:val="false"/>
          <w:i/>
          <w:color w:val="000000"/>
          <w:sz w:val="20"/>
        </w:rPr>
        <w:t xml:space="preserve">Insurance contracts </w:t>
      </w:r>
      <w:r>
        <w:rPr>
          <w:rFonts w:ascii="Times New Roman;sans-serif" w:hAnsi="Times New Roman;sans-serif"/>
          <w:b w:val="false"/>
          <w:color w:val="000000"/>
          <w:sz w:val="20"/>
        </w:rPr>
        <w:t>(IFRS 17) as issued in 2017, with amendments published in 2020 and 2021, was adopted as from January 1, 2023. The adoption of IFRS 17 had no significant effect on Shell's financial reporting.</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related to Assets and Liabilities arising from a Single Transaction (Amendments to IAS 12 Income taxes (IAS 12)), published in May 2021, was adopted as from January 1, 2023. The adoption of these amendments had no significant effect on Shell's financial reporting.</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Tax Reform — Pillar Two Model Rules (Amendments to IAS 12) as issued on May 23, 2023, was adopted as from that date. The amendments to IAS 12 introduce a temporary mandatory relief from accounting for deferred tax that arises from legislation implementing OECD Pillar Two. On June 20, 2023, the United Kingdom substantively enacted Pillar Two. The adoption of the Pillar Two Model Rules by the jurisdictions in which Shell operates is not expected to have a significant impact on Shell. As required by the amendments to IAS 12, Shell has applied the exception to recognising and disclosing information about deferred tax assets and liabilities related to Pillar Two income taxes.</w:t>
      </w:r>
    </w:p>
    <w:p>
      <w:pPr>
        <w:pStyle w:val="TextBody"/>
        <w:bidi w:val="0"/>
        <w:spacing w:lineRule="auto" w:line="256"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Key accounting considerations, significant judgements and estimates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Future long-term commodity price assumptions and management’s view on the future development of refining margins represent a significant estimate. Future long-term commodity price assumptions were subject to change in the second quarter 2023. These assumptions continued to apply for impairment testing purposes in the fourth quarter 2023.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discount rate applied in assessing value in use represents a significant estimate. The discount rate applied was subject to change in the second quarter 2023.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discount rate applied to provisions is reviewed on a regular basis. The discount rate was reviewed and adjusted in the fourth quarter 2023. See Note 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ans-serif" w:hAnsi="Times New Roman;sans-serif"/>
          <w:b/>
          <w:color w:val="000000"/>
          <w:sz w:val="20"/>
        </w:rPr>
      </w:pPr>
      <w:r>
        <w:rPr>
          <w:rFonts w:ascii="Times New Roman;sans-serif" w:hAnsi="Times New Roman;sans-serif"/>
          <w:b/>
          <w:color w:val="000000"/>
          <w:sz w:val="20"/>
        </w:rPr>
        <w:t>2.    Segment information</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 xml:space="preserve">REVENUE AND CCS EARNINGS BY SEGMENT </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Segment earnings are presented on a current cost of supplies basis (CCS earnings), which is the earnings measure used by the Chief Executive Officer for the purposes of making decisions about allocating resources and assessing performance. On this basis, the purchase price of volumes sold during the period is based on the current cost of supplies during the same period after making allowance for the tax effect. CCS earnings therefore exclude the effect of changes in the oil price on inventory carrying amounts. Sales between segments are based on prices generally equivalent to commercially available prices.</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20</w:t>
                      </w:r>
                    </w:p>
                  </w:txbxContent>
                </v:textbox>
                <w10:wrap type="none"/>
              </v:rect>
            </w:pict>
          </mc:Fallback>
        </mc:AlternateContent>
      </w:r>
    </w:p>
    <w:tbl>
      <w:tblPr>
        <w:tblW w:w="8941" w:type="dxa"/>
        <w:jc w:val="left"/>
        <w:tblInd w:w="0" w:type="dxa"/>
        <w:tblLayout w:type="fixed"/>
        <w:tblCellMar>
          <w:top w:w="28" w:type="dxa"/>
          <w:left w:w="28" w:type="dxa"/>
          <w:bottom w:w="28" w:type="dxa"/>
          <w:right w:w="28" w:type="dxa"/>
        </w:tblCellMar>
      </w:tblPr>
      <w:tblGrid>
        <w:gridCol w:w="398"/>
        <w:gridCol w:w="353"/>
        <w:gridCol w:w="240"/>
        <w:gridCol w:w="109"/>
        <w:gridCol w:w="109"/>
        <w:gridCol w:w="109"/>
        <w:gridCol w:w="367"/>
        <w:gridCol w:w="369"/>
        <w:gridCol w:w="246"/>
        <w:gridCol w:w="109"/>
        <w:gridCol w:w="109"/>
        <w:gridCol w:w="109"/>
        <w:gridCol w:w="419"/>
        <w:gridCol w:w="422"/>
        <w:gridCol w:w="246"/>
        <w:gridCol w:w="109"/>
        <w:gridCol w:w="109"/>
        <w:gridCol w:w="109"/>
        <w:gridCol w:w="957"/>
        <w:gridCol w:w="957"/>
        <w:gridCol w:w="965"/>
        <w:gridCol w:w="412"/>
        <w:gridCol w:w="414"/>
        <w:gridCol w:w="156"/>
        <w:gridCol w:w="412"/>
        <w:gridCol w:w="414"/>
        <w:gridCol w:w="213"/>
      </w:tblGrid>
      <w:tr>
        <w:trPr/>
        <w:tc>
          <w:tcPr>
            <w:tcW w:w="39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20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Full year</w:t>
            </w:r>
          </w:p>
        </w:tc>
      </w:tr>
      <w:tr>
        <w:trPr/>
        <w:tc>
          <w:tcPr>
            <w:tcW w:w="99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3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991"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Third-party revenue</w:t>
            </w:r>
          </w:p>
        </w:tc>
        <w:tc>
          <w:tcPr>
            <w:tcW w:w="982"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10,437 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13,802 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54,751 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6,475 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8,352 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26,429 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29,577 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28,417 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30,290 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27,779 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33,480 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Chemicals and Products</w:t>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118,780 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144,342 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10,302 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9,032 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and Energy Solutions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78,732</w:t>
            </w:r>
            <w:r>
              <w:rPr>
                <w:color w:val="000000"/>
              </w:rPr>
              <w:t> </w:t>
            </w:r>
          </w:p>
        </w:tc>
        <w:tc>
          <w:tcPr>
            <w:tcW w:w="24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76,350</w:t>
            </w:r>
            <w:r>
              <w:rPr>
                <w:color w:val="000000"/>
              </w:rPr>
              <w:t> </w:t>
            </w:r>
          </w:p>
        </w:tc>
        <w:tc>
          <w:tcPr>
            <w:tcW w:w="2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101,303</w:t>
            </w:r>
            <w:r>
              <w:rPr>
                <w:color w:val="000000"/>
              </w:rPr>
              <w:t> </w:t>
            </w:r>
          </w:p>
        </w:tc>
        <w:tc>
          <w:tcPr>
            <w:tcW w:w="2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color w:val="000000"/>
                <w:sz w:val="20"/>
              </w:rPr>
              <w:t>Total third-party revenue</w:t>
            </w:r>
            <w:r>
              <w:rPr>
                <w:rFonts w:ascii="Times New Roman;sans-serif" w:hAnsi="Times New Roman;sans-serif"/>
                <w:b/>
                <w:color w:val="000000"/>
                <w:sz w:val="13"/>
              </w:rPr>
              <w:t>1</w:t>
            </w:r>
          </w:p>
        </w:tc>
        <w:tc>
          <w:tcPr>
            <w:tcW w:w="98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316,620</w:t>
            </w:r>
          </w:p>
        </w:tc>
        <w:tc>
          <w:tcPr>
            <w:tcW w:w="103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381,314</w:t>
            </w:r>
          </w:p>
        </w:tc>
      </w:tr>
      <w:tr>
        <w:trPr/>
        <w:tc>
          <w:tcPr>
            <w:tcW w:w="991"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Inter-segment revenue</w:t>
            </w:r>
          </w:p>
        </w:tc>
        <w:tc>
          <w:tcPr>
            <w:tcW w:w="98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Chemicals and Products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and Energy Solutions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CCS earnings</w:t>
            </w:r>
          </w:p>
        </w:tc>
        <w:tc>
          <w:tcPr>
            <w:tcW w:w="98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w:t>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22,212 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Chemicals and Products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and Energy Solutions</w:t>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1,381</w:t>
            </w:r>
            <w:r>
              <w:rPr>
                <w:color w:val="000000"/>
              </w:rPr>
              <w:t> </w:t>
            </w:r>
          </w:p>
        </w:tc>
        <w:tc>
          <w:tcPr>
            <w:tcW w:w="240"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6,152</w:t>
            </w:r>
            <w:r>
              <w:rPr>
                <w:color w:val="000000"/>
              </w:rPr>
              <w:t> </w:t>
            </w:r>
          </w:p>
        </w:tc>
        <w:tc>
          <w:tcPr>
            <w:tcW w:w="246"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11,399</w:t>
            </w:r>
            <w:r>
              <w:rPr>
                <w:color w:val="000000"/>
              </w:rPr>
              <w:t> </w:t>
            </w:r>
          </w:p>
        </w:tc>
        <w:tc>
          <w:tcPr>
            <w:tcW w:w="246"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Total CCS earnings</w:t>
            </w:r>
            <w:r>
              <w:rPr>
                <w:rFonts w:ascii="Times New Roman;sans-serif" w:hAnsi="Times New Roman;sans-serif"/>
                <w:b/>
                <w:color w:val="000000"/>
                <w:sz w:val="13"/>
              </w:rPr>
              <w:t>2</w:t>
            </w:r>
          </w:p>
        </w:tc>
        <w:tc>
          <w:tcPr>
            <w:tcW w:w="826"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20,283</w:t>
            </w:r>
            <w:r>
              <w:rPr>
                <w:color w:val="000000"/>
              </w:rPr>
              <w:t> </w:t>
            </w:r>
          </w:p>
        </w:tc>
        <w:tc>
          <w:tcPr>
            <w:tcW w:w="156"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41,562</w:t>
            </w:r>
            <w:r>
              <w:rPr>
                <w:color w:val="000000"/>
              </w:rPr>
              <w:t> </w:t>
            </w:r>
          </w:p>
        </w:tc>
        <w:tc>
          <w:tcPr>
            <w:tcW w:w="213"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284"/>
        <w:jc w:val="left"/>
        <w:rPr/>
      </w:pPr>
      <w:r>
        <w:rPr>
          <w:rFonts w:ascii="Times New Roman;sans-serif" w:hAnsi="Times New Roman;sans-serif"/>
          <w:b w:val="false"/>
          <w:color w:val="595959"/>
          <w:sz w:val="13"/>
        </w:rPr>
        <w:t>1.</w:t>
      </w:r>
      <w:r>
        <w:rPr>
          <w:rFonts w:ascii="Times New Roman;sans-serif" w:hAnsi="Times New Roman;sans-serif"/>
          <w:b w:val="false"/>
          <w:color w:val="000000"/>
          <w:sz w:val="20"/>
        </w:rPr>
        <w:t>Includes revenue from sources other than from contracts with customers, which mainly comprises the impact of fair value accounting of commodity derivatives. Fourth quarter 2023 included income of $3,021 million (third quarter 2023: $3,530 million income; fourth quarter 2022: $10,371 million income). This amount includes both the reversal of prior gains of $711 million (third quarter 2023: $2,583 million gains; fourth quarter 2022: $621 million losses) related to sales contracts and prior losses of $248 million (third quarter 2023: $965 million losses; fourth quarter 2022: $1,032 million losses) related to purchase contracts that were previously recognised and where physical settlement took place in the fourth quarter 2023.</w:t>
      </w:r>
    </w:p>
    <w:p>
      <w:pPr>
        <w:pStyle w:val="TextBody"/>
        <w:bidi w:val="0"/>
        <w:spacing w:lineRule="auto" w:line="276" w:before="0" w:after="0"/>
        <w:ind w:left="0" w:right="0" w:hanging="284"/>
        <w:jc w:val="left"/>
        <w:rPr/>
      </w:pPr>
      <w:r>
        <w:rPr>
          <w:rFonts w:ascii="Times New Roman;sans-serif" w:hAnsi="Times New Roman;sans-serif"/>
          <w:b w:val="false"/>
          <w:color w:val="595959"/>
          <w:sz w:val="13"/>
        </w:rPr>
        <w:t>2.</w:t>
      </w:r>
      <w:r>
        <w:rPr>
          <w:rFonts w:ascii="Times New Roman;sans-serif" w:hAnsi="Times New Roman;sans-serif"/>
          <w:b w:val="false"/>
          <w:color w:val="000000"/>
          <w:sz w:val="20"/>
        </w:rPr>
        <w:t>See Note 3 "Reconciliation of income for the period to CCS Earnings, Operating expenses and Total Debt".</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CASH CAPITAL EXPENDITURE BY SEGMENT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Cash capital expenditure represents cash spent on maintaining and developing assets as well as on investments in the period. Management regularly monitors this measure as a key lever to delivering sustainable cash flows. Cash capital expenditure is the sum of the following lines from the Consolidated Statement of Cash Flows: Capital expenditure, Investments in joint ventures and associates and Investments in equity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21</w:t>
                      </w:r>
                    </w:p>
                  </w:txbxContent>
                </v:textbox>
                <w10:wrap type="none"/>
              </v:rect>
            </w:pict>
          </mc:Fallback>
        </mc:AlternateContent>
      </w:r>
    </w:p>
    <w:tbl>
      <w:tblPr>
        <w:tblW w:w="8947" w:type="dxa"/>
        <w:jc w:val="left"/>
        <w:tblInd w:w="0" w:type="dxa"/>
        <w:tblLayout w:type="fixed"/>
        <w:tblCellMar>
          <w:top w:w="28" w:type="dxa"/>
          <w:left w:w="28" w:type="dxa"/>
          <w:bottom w:w="28" w:type="dxa"/>
          <w:right w:w="28" w:type="dxa"/>
        </w:tblCellMar>
      </w:tblPr>
      <w:tblGrid>
        <w:gridCol w:w="342"/>
        <w:gridCol w:w="304"/>
        <w:gridCol w:w="240"/>
        <w:gridCol w:w="329"/>
        <w:gridCol w:w="302"/>
        <w:gridCol w:w="246"/>
        <w:gridCol w:w="329"/>
        <w:gridCol w:w="302"/>
        <w:gridCol w:w="246"/>
        <w:gridCol w:w="1416"/>
        <w:gridCol w:w="1416"/>
        <w:gridCol w:w="1428"/>
        <w:gridCol w:w="368"/>
        <w:gridCol w:w="368"/>
        <w:gridCol w:w="156"/>
        <w:gridCol w:w="368"/>
        <w:gridCol w:w="368"/>
        <w:gridCol w:w="156"/>
        <w:gridCol w:w="109"/>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17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Full year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87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87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426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9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w:t>
            </w:r>
          </w:p>
        </w:tc>
        <w:tc>
          <w:tcPr>
            <w:tcW w:w="89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Chemicals and Products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and Energy Solutions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6,960</w:t>
            </w:r>
            <w:r>
              <w:rPr>
                <w:color w:val="000000"/>
              </w:rPr>
              <w:t> </w:t>
            </w:r>
          </w:p>
        </w:tc>
        <w:tc>
          <w:tcPr>
            <w:tcW w:w="2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5,259</w:t>
            </w:r>
            <w:r>
              <w:rPr>
                <w:color w:val="000000"/>
              </w:rPr>
              <w:t> </w:t>
            </w:r>
          </w:p>
        </w:tc>
        <w:tc>
          <w:tcPr>
            <w:tcW w:w="24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6,417</w:t>
            </w:r>
            <w:r>
              <w:rPr>
                <w:color w:val="000000"/>
              </w:rPr>
              <w:t> </w:t>
            </w:r>
          </w:p>
        </w:tc>
        <w:tc>
          <w:tcPr>
            <w:tcW w:w="24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capital expenditure</w:t>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22,993</w:t>
            </w:r>
            <w:r>
              <w:rPr>
                <w:color w:val="000000"/>
              </w:rPr>
              <w:t>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22,600</w:t>
            </w:r>
            <w:r>
              <w:rPr>
                <w:color w:val="000000"/>
              </w:rPr>
              <w:t>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Add: Investments in joint ventures and associates</w:t>
            </w:r>
          </w:p>
        </w:tc>
        <w:tc>
          <w:tcPr>
            <w:tcW w:w="89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Chemicals and Products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and Energy Solutions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w:t>
            </w:r>
            <w:r>
              <w:rPr>
                <w:color w:val="000000"/>
              </w:rPr>
              <w:t> </w:t>
            </w:r>
          </w:p>
        </w:tc>
        <w:tc>
          <w:tcPr>
            <w:tcW w:w="2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350</w:t>
            </w:r>
            <w:r>
              <w:rPr>
                <w:color w:val="000000"/>
              </w:rPr>
              <w:t> </w:t>
            </w:r>
          </w:p>
        </w:tc>
        <w:tc>
          <w:tcPr>
            <w:tcW w:w="24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860</w:t>
            </w:r>
            <w:r>
              <w:rPr>
                <w:color w:val="000000"/>
              </w:rPr>
              <w:t> </w:t>
            </w:r>
          </w:p>
        </w:tc>
        <w:tc>
          <w:tcPr>
            <w:tcW w:w="24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investments in joint ventures and associates</w:t>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1,202</w:t>
            </w:r>
            <w:r>
              <w:rPr>
                <w:color w:val="000000"/>
              </w:rPr>
              <w:t>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1,973</w:t>
            </w:r>
            <w:r>
              <w:rPr>
                <w:color w:val="000000"/>
              </w:rPr>
              <w:t>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Add: Investments in equity securities</w:t>
            </w:r>
          </w:p>
        </w:tc>
        <w:tc>
          <w:tcPr>
            <w:tcW w:w="89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Chemicals and Products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and Energy Solutions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w:t>
            </w:r>
            <w:r>
              <w:rPr>
                <w:color w:val="000000"/>
              </w:rPr>
              <w:t> </w:t>
            </w:r>
          </w:p>
        </w:tc>
        <w:tc>
          <w:tcPr>
            <w:tcW w:w="2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w:t>
            </w:r>
            <w:r>
              <w:rPr>
                <w:color w:val="000000"/>
              </w:rPr>
              <w:t> </w:t>
            </w:r>
          </w:p>
        </w:tc>
        <w:tc>
          <w:tcPr>
            <w:tcW w:w="24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w:t>
            </w:r>
            <w:r>
              <w:rPr>
                <w:color w:val="000000"/>
              </w:rPr>
              <w:t> </w:t>
            </w:r>
          </w:p>
        </w:tc>
        <w:tc>
          <w:tcPr>
            <w:tcW w:w="24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investments in equity securities</w:t>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197</w:t>
            </w:r>
            <w:r>
              <w:rPr>
                <w:color w:val="000000"/>
              </w:rPr>
              <w:t>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260</w:t>
            </w:r>
            <w:r>
              <w:rPr>
                <w:color w:val="000000"/>
              </w:rPr>
              <w:t>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capital expenditure</w:t>
            </w:r>
          </w:p>
        </w:tc>
        <w:tc>
          <w:tcPr>
            <w:tcW w:w="89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Chemicals and Products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and Energy Solutions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7,113</w:t>
            </w:r>
            <w:r>
              <w:rPr>
                <w:color w:val="000000"/>
              </w:rPr>
              <w:t> </w:t>
            </w:r>
          </w:p>
        </w:tc>
        <w:tc>
          <w:tcPr>
            <w:tcW w:w="240"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5,649</w:t>
            </w:r>
            <w:r>
              <w:rPr>
                <w:color w:val="000000"/>
              </w:rPr>
              <w:t> </w:t>
            </w:r>
          </w:p>
        </w:tc>
        <w:tc>
          <w:tcPr>
            <w:tcW w:w="246"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7,319</w:t>
            </w:r>
            <w:r>
              <w:rPr>
                <w:color w:val="000000"/>
              </w:rPr>
              <w:t> </w:t>
            </w:r>
          </w:p>
        </w:tc>
        <w:tc>
          <w:tcPr>
            <w:tcW w:w="246"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capital expenditure</w:t>
            </w:r>
          </w:p>
        </w:tc>
        <w:tc>
          <w:tcPr>
            <w:tcW w:w="736"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24,393</w:t>
            </w:r>
            <w:r>
              <w:rPr>
                <w:color w:val="000000"/>
              </w:rPr>
              <w:t> </w:t>
            </w:r>
          </w:p>
        </w:tc>
        <w:tc>
          <w:tcPr>
            <w:tcW w:w="156"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24,833</w:t>
            </w:r>
            <w:r>
              <w:rPr>
                <w:color w:val="000000"/>
              </w:rPr>
              <w:t> </w:t>
            </w:r>
          </w:p>
        </w:tc>
        <w:tc>
          <w:tcPr>
            <w:tcW w:w="156"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22</w:t>
                      </w:r>
                    </w:p>
                  </w:txbxContent>
                </v:textbox>
                <w10:wrap type="none"/>
              </v:rect>
            </w:pict>
          </mc:Fallback>
        </mc:AlternateContent>
      </w:r>
    </w:p>
    <w:p>
      <w:pPr>
        <w:pStyle w:val="TextBody"/>
        <w:bidi w:val="0"/>
        <w:spacing w:lineRule="auto" w:line="276" w:before="200" w:after="120"/>
        <w:ind w:left="0" w:right="0" w:hanging="709"/>
        <w:jc w:val="left"/>
        <w:rPr>
          <w:rFonts w:ascii="Times New Roman;sans-serif" w:hAnsi="Times New Roman;sans-serif"/>
          <w:b/>
          <w:color w:val="000000"/>
          <w:sz w:val="20"/>
        </w:rPr>
      </w:pPr>
      <w:r>
        <w:rPr>
          <w:rFonts w:ascii="Times New Roman;sans-serif" w:hAnsi="Times New Roman;sans-serif"/>
          <w:b/>
          <w:color w:val="000000"/>
          <w:sz w:val="20"/>
        </w:rPr>
        <w:t>3.Reconciliation of income for the period to CCS Earnings, Operating expenses and Total Debt</w:t>
      </w:r>
    </w:p>
    <w:p>
      <w:pPr>
        <w:pStyle w:val="TextBody"/>
        <w:bidi w:val="0"/>
        <w:spacing w:lineRule="auto" w:line="276" w:before="200" w:after="120"/>
        <w:jc w:val="left"/>
        <w:rPr>
          <w:rFonts w:ascii="Times New Roman;sans-serif" w:hAnsi="Times New Roman;sans-serif"/>
          <w:b/>
          <w:color w:val="000000"/>
          <w:sz w:val="20"/>
        </w:rPr>
      </w:pPr>
      <w:r>
        <w:rPr>
          <w:rFonts w:ascii="Times New Roman;sans-serif" w:hAnsi="Times New Roman;sans-serif"/>
          <w:b/>
          <w:color w:val="000000"/>
          <w:sz w:val="20"/>
        </w:rPr>
        <w:t xml:space="preserve">RECONCILIATION OF INCOME FOR THE PERIOD TO CCS EARNINGS </w:t>
      </w:r>
    </w:p>
    <w:tbl>
      <w:tblPr>
        <w:tblW w:w="10021" w:type="dxa"/>
        <w:jc w:val="center"/>
        <w:tblInd w:w="0" w:type="dxa"/>
        <w:tblLayout w:type="fixed"/>
        <w:tblCellMar>
          <w:top w:w="28" w:type="dxa"/>
          <w:left w:w="28" w:type="dxa"/>
          <w:bottom w:w="28" w:type="dxa"/>
          <w:right w:w="28" w:type="dxa"/>
        </w:tblCellMar>
      </w:tblPr>
      <w:tblGrid>
        <w:gridCol w:w="352"/>
        <w:gridCol w:w="294"/>
        <w:gridCol w:w="240"/>
        <w:gridCol w:w="109"/>
        <w:gridCol w:w="109"/>
        <w:gridCol w:w="109"/>
        <w:gridCol w:w="344"/>
        <w:gridCol w:w="346"/>
        <w:gridCol w:w="246"/>
        <w:gridCol w:w="109"/>
        <w:gridCol w:w="109"/>
        <w:gridCol w:w="109"/>
        <w:gridCol w:w="367"/>
        <w:gridCol w:w="369"/>
        <w:gridCol w:w="246"/>
        <w:gridCol w:w="109"/>
        <w:gridCol w:w="109"/>
        <w:gridCol w:w="109"/>
        <w:gridCol w:w="1460"/>
        <w:gridCol w:w="1460"/>
        <w:gridCol w:w="1475"/>
        <w:gridCol w:w="367"/>
        <w:gridCol w:w="369"/>
        <w:gridCol w:w="156"/>
        <w:gridCol w:w="367"/>
        <w:gridCol w:w="369"/>
        <w:gridCol w:w="213"/>
      </w:tblGrid>
      <w:tr>
        <w:trPr/>
        <w:tc>
          <w:tcPr>
            <w:tcW w:w="3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4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Full year</w:t>
            </w:r>
          </w:p>
        </w:tc>
      </w:tr>
      <w:tr>
        <w:trPr/>
        <w:tc>
          <w:tcPr>
            <w:tcW w:w="8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94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4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240"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7,044 </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10,409 </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Income/(loss) attributable to Shell plc shareholders</w:t>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19,360 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42,309 </w:t>
            </w:r>
          </w:p>
        </w:tc>
        <w:tc>
          <w:tcPr>
            <w:tcW w:w="213"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Income/(loss) attributable to non-controlling interest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536</w:t>
            </w:r>
            <w:r>
              <w:rPr>
                <w:color w:val="000000"/>
              </w:rPr>
              <w:t> </w:t>
            </w:r>
          </w:p>
        </w:tc>
        <w:tc>
          <w:tcPr>
            <w:tcW w:w="240"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7,176</w:t>
            </w:r>
            <w:r>
              <w:rPr>
                <w:color w:val="000000"/>
              </w:rPr>
              <w:t> </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10,469</w:t>
            </w:r>
            <w:r>
              <w:rPr>
                <w:color w:val="000000"/>
              </w:rPr>
              <w:t> </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Income/(loss) for the period</w:t>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19,638</w:t>
            </w:r>
            <w:r>
              <w:rPr>
                <w:color w:val="000000"/>
              </w:rPr>
              <w:t>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42,874</w:t>
            </w:r>
            <w:r>
              <w:rPr>
                <w:color w:val="000000"/>
              </w:rPr>
              <w:t> </w:t>
            </w:r>
          </w:p>
        </w:tc>
        <w:tc>
          <w:tcPr>
            <w:tcW w:w="213"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cost of supplies adjustment:</w:t>
            </w:r>
          </w:p>
        </w:tc>
        <w:tc>
          <w:tcPr>
            <w:tcW w:w="89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Taxation</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profit/(loss) of joint ventures and associates</w:t>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846</w:t>
            </w:r>
            <w:r>
              <w:rPr>
                <w:color w:val="000000"/>
              </w:rPr>
              <w:t> </w:t>
            </w:r>
          </w:p>
        </w:tc>
        <w:tc>
          <w:tcPr>
            <w:tcW w:w="24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(1,024)</w:t>
            </w:r>
          </w:p>
        </w:tc>
        <w:tc>
          <w:tcPr>
            <w:tcW w:w="2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930</w:t>
            </w:r>
            <w:r>
              <w:rPr>
                <w:color w:val="000000"/>
              </w:rPr>
              <w:t> </w:t>
            </w:r>
          </w:p>
        </w:tc>
        <w:tc>
          <w:tcPr>
            <w:tcW w:w="2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Current cost of supplies adjustment</w:t>
            </w:r>
          </w:p>
        </w:tc>
        <w:tc>
          <w:tcPr>
            <w:tcW w:w="73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645</w:t>
            </w:r>
            <w:r>
              <w:rPr>
                <w:color w:val="000000"/>
              </w:rPr>
              <w:t>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(1,312)</w:t>
            </w:r>
          </w:p>
        </w:tc>
        <w:tc>
          <w:tcPr>
            <w:tcW w:w="21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w:t>
            </w:r>
          </w:p>
        </w:tc>
        <w:tc>
          <w:tcPr>
            <w:tcW w:w="892"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Attributable to Shell plc shareholders</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Attributable to non-controlling interest</w:t>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1,381</w:t>
            </w:r>
            <w:r>
              <w:rPr>
                <w:color w:val="000000"/>
              </w:rPr>
              <w:t> </w:t>
            </w:r>
          </w:p>
        </w:tc>
        <w:tc>
          <w:tcPr>
            <w:tcW w:w="2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6,152</w:t>
            </w:r>
            <w:r>
              <w:rPr>
                <w:color w:val="000000"/>
              </w:rPr>
              <w:t> </w:t>
            </w:r>
          </w:p>
        </w:tc>
        <w:tc>
          <w:tcPr>
            <w:tcW w:w="2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11,399</w:t>
            </w:r>
            <w:r>
              <w:rPr>
                <w:color w:val="000000"/>
              </w:rPr>
              <w:t> </w:t>
            </w:r>
          </w:p>
        </w:tc>
        <w:tc>
          <w:tcPr>
            <w:tcW w:w="2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CCS earnings</w:t>
            </w:r>
          </w:p>
        </w:tc>
        <w:tc>
          <w:tcPr>
            <w:tcW w:w="73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20,283</w:t>
            </w:r>
            <w:r>
              <w:rPr>
                <w:color w:val="000000"/>
              </w:rPr>
              <w:t>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41,562</w:t>
            </w:r>
            <w:r>
              <w:rPr>
                <w:color w:val="000000"/>
              </w:rPr>
              <w:t> </w:t>
            </w:r>
          </w:p>
        </w:tc>
        <w:tc>
          <w:tcPr>
            <w:tcW w:w="21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w:t>
            </w:r>
          </w:p>
        </w:tc>
        <w:tc>
          <w:tcPr>
            <w:tcW w:w="892"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CCS earnings attributable to Shell plc shareholders</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41,113 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bottom w:val="single" w:sz="2"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40" w:type="dxa"/>
            <w:tcBorders>
              <w:bottom w:val="single" w:sz="2"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bottom w:val="single" w:sz="2"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46" w:type="dxa"/>
            <w:tcBorders>
              <w:bottom w:val="single" w:sz="2"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2"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46" w:type="dxa"/>
            <w:tcBorders>
              <w:bottom w:val="single" w:sz="2"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bottom w:val="single" w:sz="2"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CCS earnings attributable to non-controlling interest</w:t>
            </w:r>
          </w:p>
        </w:tc>
        <w:tc>
          <w:tcPr>
            <w:tcW w:w="736" w:type="dxa"/>
            <w:gridSpan w:val="2"/>
            <w:tcBorders>
              <w:bottom w:val="single" w:sz="2"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6" w:type="dxa"/>
            <w:tcBorders>
              <w:bottom w:val="single" w:sz="2"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2"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213" w:type="dxa"/>
            <w:tcBorders>
              <w:bottom w:val="single" w:sz="2"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left"/>
        <w:rPr>
          <w:rFonts w:ascii="Times New Roman;sans-serif" w:hAnsi="Times New Roman;sans-serif"/>
          <w:b/>
          <w:color w:val="000000"/>
          <w:sz w:val="20"/>
        </w:rPr>
      </w:pPr>
      <w:r>
        <w:rPr>
          <w:rFonts w:ascii="Times New Roman;sans-serif" w:hAnsi="Times New Roman;sans-serif"/>
          <w:b/>
          <w:color w:val="000000"/>
          <w:sz w:val="20"/>
        </w:rPr>
        <w:t xml:space="preserve">RECONCILIATION OF OPERATING EXPENSES </w:t>
      </w:r>
    </w:p>
    <w:tbl>
      <w:tblPr>
        <w:tblW w:w="9190" w:type="dxa"/>
        <w:jc w:val="left"/>
        <w:tblInd w:w="0" w:type="dxa"/>
        <w:tblLayout w:type="fixed"/>
        <w:tblCellMar>
          <w:top w:w="28" w:type="dxa"/>
          <w:left w:w="28" w:type="dxa"/>
          <w:bottom w:w="28" w:type="dxa"/>
          <w:right w:w="28" w:type="dxa"/>
        </w:tblCellMar>
      </w:tblPr>
      <w:tblGrid>
        <w:gridCol w:w="398"/>
        <w:gridCol w:w="353"/>
        <w:gridCol w:w="240"/>
        <w:gridCol w:w="368"/>
        <w:gridCol w:w="368"/>
        <w:gridCol w:w="246"/>
        <w:gridCol w:w="368"/>
        <w:gridCol w:w="368"/>
        <w:gridCol w:w="246"/>
        <w:gridCol w:w="109"/>
        <w:gridCol w:w="1355"/>
        <w:gridCol w:w="1355"/>
        <w:gridCol w:w="1369"/>
        <w:gridCol w:w="367"/>
        <w:gridCol w:w="369"/>
        <w:gridCol w:w="156"/>
        <w:gridCol w:w="367"/>
        <w:gridCol w:w="369"/>
        <w:gridCol w:w="156"/>
        <w:gridCol w:w="109"/>
        <w:gridCol w:w="154"/>
      </w:tblGrid>
      <w:tr>
        <w:trPr/>
        <w:tc>
          <w:tcPr>
            <w:tcW w:w="39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17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Full year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99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98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98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6,807 </w:t>
            </w:r>
          </w:p>
        </w:tc>
        <w:tc>
          <w:tcPr>
            <w:tcW w:w="240"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6,384 </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7,220 </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manufacturing expenses</w:t>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25,240 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25,518 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3,621 </w:t>
            </w:r>
          </w:p>
        </w:tc>
        <w:tc>
          <w:tcPr>
            <w:tcW w:w="2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3,447 </w:t>
            </w:r>
          </w:p>
        </w:tc>
        <w:tc>
          <w:tcPr>
            <w:tcW w:w="24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3,491 </w:t>
            </w:r>
          </w:p>
        </w:tc>
        <w:tc>
          <w:tcPr>
            <w:tcW w:w="24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distribution and administrative expenses</w:t>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13,433 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12,883 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240"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10,897</w:t>
            </w:r>
            <w:r>
              <w:rPr>
                <w:color w:val="000000"/>
              </w:rPr>
              <w:t> </w:t>
            </w:r>
          </w:p>
        </w:tc>
        <w:tc>
          <w:tcPr>
            <w:tcW w:w="24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10,097</w:t>
            </w:r>
            <w:r>
              <w:rPr>
                <w:color w:val="000000"/>
              </w:rPr>
              <w:t> </w:t>
            </w:r>
          </w:p>
        </w:tc>
        <w:tc>
          <w:tcPr>
            <w:tcW w:w="24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11,114</w:t>
            </w:r>
            <w:r>
              <w:rPr>
                <w:color w:val="000000"/>
              </w:rPr>
              <w:t> </w:t>
            </w:r>
          </w:p>
        </w:tc>
        <w:tc>
          <w:tcPr>
            <w:tcW w:w="24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73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39,959</w:t>
            </w:r>
            <w:r>
              <w:rPr>
                <w:color w:val="000000"/>
              </w:rPr>
              <w:t> </w:t>
            </w:r>
          </w:p>
        </w:tc>
        <w:tc>
          <w:tcPr>
            <w:tcW w:w="15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39,477</w:t>
            </w:r>
            <w:r>
              <w:rPr>
                <w:color w:val="000000"/>
              </w:rPr>
              <w:t> </w:t>
            </w:r>
          </w:p>
        </w:tc>
        <w:tc>
          <w:tcPr>
            <w:tcW w:w="15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left"/>
        <w:rPr>
          <w:rFonts w:ascii="Times New Roman;sans-serif" w:hAnsi="Times New Roman;sans-serif"/>
          <w:b/>
          <w:color w:val="000000"/>
          <w:sz w:val="20"/>
        </w:rPr>
      </w:pPr>
      <w:r>
        <w:rPr>
          <w:rFonts w:ascii="Times New Roman;sans-serif" w:hAnsi="Times New Roman;sans-serif"/>
          <w:b/>
          <w:color w:val="000000"/>
          <w:sz w:val="20"/>
        </w:rPr>
        <w:t xml:space="preserve">RECONCILIATION OF TOTAL DEBT </w:t>
      </w:r>
    </w:p>
    <w:tbl>
      <w:tblPr>
        <w:tblW w:w="9194" w:type="dxa"/>
        <w:jc w:val="left"/>
        <w:tblInd w:w="0" w:type="dxa"/>
        <w:tblLayout w:type="fixed"/>
        <w:tblCellMar>
          <w:top w:w="28" w:type="dxa"/>
          <w:left w:w="28" w:type="dxa"/>
          <w:bottom w:w="28" w:type="dxa"/>
          <w:right w:w="28" w:type="dxa"/>
        </w:tblCellMar>
      </w:tblPr>
      <w:tblGrid>
        <w:gridCol w:w="547"/>
        <w:gridCol w:w="481"/>
        <w:gridCol w:w="486"/>
        <w:gridCol w:w="512"/>
        <w:gridCol w:w="512"/>
        <w:gridCol w:w="520"/>
        <w:gridCol w:w="497"/>
        <w:gridCol w:w="497"/>
        <w:gridCol w:w="505"/>
        <w:gridCol w:w="109"/>
        <w:gridCol w:w="494"/>
        <w:gridCol w:w="494"/>
        <w:gridCol w:w="497"/>
        <w:gridCol w:w="499"/>
        <w:gridCol w:w="499"/>
        <w:gridCol w:w="501"/>
        <w:gridCol w:w="452"/>
        <w:gridCol w:w="452"/>
        <w:gridCol w:w="640"/>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109" w:type="dxa"/>
            <w:tcBorders/>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30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109" w:type="dxa"/>
            <w:tcBorders/>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28"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9,931 </w:t>
            </w:r>
          </w:p>
        </w:tc>
        <w:tc>
          <w:tcPr>
            <w:tcW w:w="48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10,119 </w:t>
            </w:r>
          </w:p>
        </w:tc>
        <w:tc>
          <w:tcPr>
            <w:tcW w:w="520"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9,001 </w:t>
            </w:r>
          </w:p>
        </w:tc>
        <w:tc>
          <w:tcPr>
            <w:tcW w:w="505"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5"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debt</w:t>
            </w:r>
          </w:p>
        </w:tc>
        <w:tc>
          <w:tcPr>
            <w:tcW w:w="998"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9,931 </w:t>
            </w:r>
          </w:p>
        </w:tc>
        <w:tc>
          <w:tcPr>
            <w:tcW w:w="501"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9,001 </w:t>
            </w:r>
          </w:p>
        </w:tc>
        <w:tc>
          <w:tcPr>
            <w:tcW w:w="640"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71,610 </w:t>
            </w:r>
          </w:p>
        </w:tc>
        <w:tc>
          <w:tcPr>
            <w:tcW w:w="48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72,028 </w:t>
            </w:r>
          </w:p>
        </w:tc>
        <w:tc>
          <w:tcPr>
            <w:tcW w:w="52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74,794 </w:t>
            </w:r>
          </w:p>
        </w:tc>
        <w:tc>
          <w:tcPr>
            <w:tcW w:w="50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debt</w:t>
            </w:r>
          </w:p>
        </w:tc>
        <w:tc>
          <w:tcPr>
            <w:tcW w:w="99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71,610 </w:t>
            </w:r>
          </w:p>
        </w:tc>
        <w:tc>
          <w:tcPr>
            <w:tcW w:w="5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74,794 </w:t>
            </w:r>
          </w:p>
        </w:tc>
        <w:tc>
          <w:tcPr>
            <w:tcW w:w="6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81,541</w:t>
            </w:r>
            <w:r>
              <w:rPr>
                <w:color w:val="000000"/>
              </w:rPr>
              <w:t> </w:t>
            </w:r>
          </w:p>
        </w:tc>
        <w:tc>
          <w:tcPr>
            <w:tcW w:w="48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82,147</w:t>
            </w:r>
            <w:r>
              <w:rPr>
                <w:color w:val="000000"/>
              </w:rPr>
              <w:t> </w:t>
            </w:r>
          </w:p>
        </w:tc>
        <w:tc>
          <w:tcPr>
            <w:tcW w:w="52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83,795</w:t>
            </w:r>
            <w:r>
              <w:rPr>
                <w:color w:val="000000"/>
              </w:rPr>
              <w:t> </w:t>
            </w:r>
          </w:p>
        </w:tc>
        <w:tc>
          <w:tcPr>
            <w:tcW w:w="505"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998"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81,541</w:t>
            </w:r>
            <w:r>
              <w:rPr>
                <w:color w:val="000000"/>
              </w:rPr>
              <w:t> </w:t>
            </w:r>
          </w:p>
        </w:tc>
        <w:tc>
          <w:tcPr>
            <w:tcW w:w="50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83,795</w:t>
            </w:r>
            <w:r>
              <w:rPr>
                <w:color w:val="000000"/>
              </w:rPr>
              <w:t> </w:t>
            </w:r>
          </w:p>
        </w:tc>
        <w:tc>
          <w:tcPr>
            <w:tcW w:w="64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ans-serif" w:hAnsi="Times New Roman;sans-serif"/>
          <w:b/>
          <w:color w:val="000000"/>
          <w:sz w:val="20"/>
        </w:rPr>
      </w:pPr>
      <w:r>
        <w:rPr>
          <w:rFonts w:ascii="Times New Roman;sans-serif" w:hAnsi="Times New Roman;sans-serif"/>
          <w:b/>
          <w:color w:val="000000"/>
          <w:sz w:val="20"/>
        </w:rPr>
        <w:t xml:space="preserve">4.    Earnings per share </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EARNINGS PER SHARE</w:t>
      </w:r>
    </w:p>
    <w:tbl>
      <w:tblPr>
        <w:tblW w:w="10205" w:type="dxa"/>
        <w:jc w:val="center"/>
        <w:tblInd w:w="0" w:type="dxa"/>
        <w:tblLayout w:type="fixed"/>
        <w:tblCellMar>
          <w:top w:w="28" w:type="dxa"/>
          <w:left w:w="28" w:type="dxa"/>
          <w:bottom w:w="28" w:type="dxa"/>
          <w:right w:w="28" w:type="dxa"/>
        </w:tblCellMar>
      </w:tblPr>
      <w:tblGrid>
        <w:gridCol w:w="440"/>
        <w:gridCol w:w="341"/>
        <w:gridCol w:w="214"/>
        <w:gridCol w:w="109"/>
        <w:gridCol w:w="109"/>
        <w:gridCol w:w="109"/>
        <w:gridCol w:w="383"/>
        <w:gridCol w:w="383"/>
        <w:gridCol w:w="219"/>
        <w:gridCol w:w="109"/>
        <w:gridCol w:w="109"/>
        <w:gridCol w:w="109"/>
        <w:gridCol w:w="382"/>
        <w:gridCol w:w="384"/>
        <w:gridCol w:w="219"/>
        <w:gridCol w:w="109"/>
        <w:gridCol w:w="109"/>
        <w:gridCol w:w="109"/>
        <w:gridCol w:w="1450"/>
        <w:gridCol w:w="1450"/>
        <w:gridCol w:w="1455"/>
        <w:gridCol w:w="382"/>
        <w:gridCol w:w="384"/>
        <w:gridCol w:w="156"/>
        <w:gridCol w:w="382"/>
        <w:gridCol w:w="384"/>
        <w:gridCol w:w="216"/>
      </w:tblGrid>
      <w:tr>
        <w:trPr/>
        <w:tc>
          <w:tcPr>
            <w:tcW w:w="4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6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Full year</w:t>
            </w:r>
          </w:p>
        </w:tc>
      </w:tr>
      <w:tr>
        <w:trPr/>
        <w:tc>
          <w:tcPr>
            <w:tcW w:w="99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9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7,044 </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10,409 </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Income/(loss) attributable to Shell plc shareholders ($ million)</w:t>
            </w:r>
          </w:p>
        </w:tc>
        <w:tc>
          <w:tcPr>
            <w:tcW w:w="7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19,360 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42,309 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used as the basis for determining:</w:t>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6,558.3 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7,063.9 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(million)</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7,347.5 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6,631.1 </w:t>
            </w:r>
          </w:p>
        </w:tc>
        <w:tc>
          <w:tcPr>
            <w:tcW w:w="214"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6,736.7 </w:t>
            </w:r>
          </w:p>
        </w:tc>
        <w:tc>
          <w:tcPr>
            <w:tcW w:w="219"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7,127.2 </w:t>
            </w:r>
          </w:p>
        </w:tc>
        <w:tc>
          <w:tcPr>
            <w:tcW w:w="219"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 (million)</w:t>
            </w:r>
          </w:p>
        </w:tc>
        <w:tc>
          <w:tcPr>
            <w:tcW w:w="76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6,799.8 </w:t>
            </w:r>
          </w:p>
        </w:tc>
        <w:tc>
          <w:tcPr>
            <w:tcW w:w="156"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7,410.5 </w:t>
            </w:r>
          </w:p>
        </w:tc>
        <w:tc>
          <w:tcPr>
            <w:tcW w:w="216"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23</w:t>
                      </w:r>
                    </w:p>
                  </w:txbxContent>
                </v:textbox>
                <w10:wrap type="none"/>
              </v:rect>
            </w:pict>
          </mc:Fallback>
        </mc:AlternateContent>
      </w:r>
    </w:p>
    <w:p>
      <w:pPr>
        <w:pStyle w:val="TextBody"/>
        <w:bidi w:val="0"/>
        <w:spacing w:lineRule="auto" w:line="288" w:before="200" w:after="120"/>
        <w:jc w:val="left"/>
        <w:rPr>
          <w:rFonts w:ascii="Times New Roman;sans-serif" w:hAnsi="Times New Roman;sans-serif"/>
          <w:b/>
          <w:color w:val="000000"/>
          <w:sz w:val="20"/>
        </w:rPr>
      </w:pPr>
      <w:r>
        <w:rPr>
          <w:rFonts w:ascii="Times New Roman;sans-serif" w:hAnsi="Times New Roman;sans-serif"/>
          <w:b/>
          <w:color w:val="000000"/>
          <w:sz w:val="20"/>
        </w:rPr>
        <w:t xml:space="preserve">5.    Share capital </w:t>
      </w:r>
    </w:p>
    <w:p>
      <w:pPr>
        <w:pStyle w:val="TextBody"/>
        <w:bidi w:val="0"/>
        <w:spacing w:lineRule="auto" w:line="288" w:before="0" w:after="120"/>
        <w:jc w:val="left"/>
        <w:rPr/>
      </w:pPr>
      <w:r>
        <w:rPr>
          <w:rFonts w:ascii="Times New Roman;sans-serif" w:hAnsi="Times New Roman;sans-serif"/>
          <w:b/>
          <w:color w:val="000000"/>
          <w:sz w:val="20"/>
        </w:rPr>
        <w:t>ISSUED AND FULLY PAID ORDINARY SHARES OF €0.07 EACH</w:t>
      </w:r>
      <w:r>
        <w:rPr>
          <w:rFonts w:ascii="Times New Roman;sans-serif" w:hAnsi="Times New Roman;sans-serif"/>
          <w:b/>
          <w:color w:val="000000"/>
          <w:sz w:val="13"/>
        </w:rPr>
        <w:t>1</w:t>
      </w:r>
    </w:p>
    <w:tbl>
      <w:tblPr>
        <w:tblW w:w="10205" w:type="dxa"/>
        <w:jc w:val="center"/>
        <w:tblInd w:w="0" w:type="dxa"/>
        <w:tblLayout w:type="fixed"/>
        <w:tblCellMar>
          <w:top w:w="28" w:type="dxa"/>
          <w:left w:w="28" w:type="dxa"/>
          <w:bottom w:w="28" w:type="dxa"/>
          <w:right w:w="28" w:type="dxa"/>
        </w:tblCellMar>
      </w:tblPr>
      <w:tblGrid>
        <w:gridCol w:w="1170"/>
        <w:gridCol w:w="878"/>
        <w:gridCol w:w="885"/>
        <w:gridCol w:w="608"/>
        <w:gridCol w:w="609"/>
        <w:gridCol w:w="121"/>
        <w:gridCol w:w="608"/>
        <w:gridCol w:w="609"/>
        <w:gridCol w:w="121"/>
        <w:gridCol w:w="600"/>
        <w:gridCol w:w="601"/>
        <w:gridCol w:w="313"/>
        <w:gridCol w:w="109"/>
        <w:gridCol w:w="109"/>
        <w:gridCol w:w="109"/>
        <w:gridCol w:w="226"/>
        <w:gridCol w:w="226"/>
        <w:gridCol w:w="123"/>
        <w:gridCol w:w="226"/>
        <w:gridCol w:w="226"/>
        <w:gridCol w:w="123"/>
        <w:gridCol w:w="312"/>
        <w:gridCol w:w="312"/>
        <w:gridCol w:w="313"/>
        <w:gridCol w:w="218"/>
        <w:gridCol w:w="218"/>
        <w:gridCol w:w="232"/>
      </w:tblGrid>
      <w:tr>
        <w:trPr/>
        <w:tc>
          <w:tcPr>
            <w:tcW w:w="117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9"/>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1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Nominal value ($ million)</w:t>
            </w:r>
          </w:p>
        </w:tc>
      </w:tr>
      <w:tr>
        <w:trPr/>
        <w:tc>
          <w:tcPr>
            <w:tcW w:w="2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w:t>
            </w:r>
          </w:p>
        </w:tc>
        <w:tc>
          <w:tcPr>
            <w:tcW w:w="133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15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w:t>
            </w:r>
          </w:p>
        </w:tc>
        <w:tc>
          <w:tcPr>
            <w:tcW w:w="57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93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Ordinary shares</w:t>
            </w:r>
          </w:p>
        </w:tc>
        <w:tc>
          <w:tcPr>
            <w:tcW w:w="66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33"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At January 1, 2023</w:t>
            </w:r>
          </w:p>
        </w:tc>
        <w:tc>
          <w:tcPr>
            <w:tcW w:w="1338"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7,003,503,393</w:t>
            </w:r>
            <w:r>
              <w:rPr>
                <w:color w:val="000000"/>
              </w:rPr>
              <w:t> </w:t>
            </w:r>
          </w:p>
        </w:tc>
        <w:tc>
          <w:tcPr>
            <w:tcW w:w="31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584</w:t>
            </w:r>
            <w:r>
              <w:rPr>
                <w:color w:val="000000"/>
              </w:rPr>
              <w:t> </w:t>
            </w:r>
          </w:p>
        </w:tc>
        <w:tc>
          <w:tcPr>
            <w:tcW w:w="31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584</w:t>
            </w:r>
            <w:r>
              <w:rPr>
                <w:color w:val="000000"/>
              </w:rPr>
              <w:t> </w:t>
            </w:r>
          </w:p>
        </w:tc>
        <w:tc>
          <w:tcPr>
            <w:tcW w:w="232"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shares</w:t>
            </w:r>
          </w:p>
        </w:tc>
        <w:tc>
          <w:tcPr>
            <w:tcW w:w="133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(479,394,344)</w:t>
            </w:r>
          </w:p>
        </w:tc>
        <w:tc>
          <w:tcPr>
            <w:tcW w:w="31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31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23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At December 31, 2023</w:t>
            </w:r>
          </w:p>
        </w:tc>
        <w:tc>
          <w:tcPr>
            <w:tcW w:w="1338"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6,524,109,049</w:t>
            </w:r>
            <w:r>
              <w:rPr>
                <w:color w:val="000000"/>
              </w:rPr>
              <w:t> </w:t>
            </w:r>
          </w:p>
        </w:tc>
        <w:tc>
          <w:tcPr>
            <w:tcW w:w="31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544</w:t>
            </w:r>
            <w:r>
              <w:rPr>
                <w:color w:val="000000"/>
              </w:rPr>
              <w:t> </w:t>
            </w:r>
          </w:p>
        </w:tc>
        <w:tc>
          <w:tcPr>
            <w:tcW w:w="31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544</w:t>
            </w:r>
            <w:r>
              <w:rPr>
                <w:color w:val="000000"/>
              </w:rPr>
              <w:t> </w:t>
            </w:r>
          </w:p>
        </w:tc>
        <w:tc>
          <w:tcPr>
            <w:tcW w:w="232"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At January 1, 2022</w:t>
            </w:r>
          </w:p>
        </w:tc>
        <w:tc>
          <w:tcPr>
            <w:tcW w:w="121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4,101,239,499</w:t>
            </w:r>
            <w:r>
              <w:rPr>
                <w:color w:val="000000"/>
              </w:rPr>
              <w:t> </w:t>
            </w:r>
          </w:p>
        </w:tc>
        <w:tc>
          <w:tcPr>
            <w:tcW w:w="12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3,582,892,954</w:t>
            </w:r>
            <w:r>
              <w:rPr>
                <w:color w:val="000000"/>
              </w:rPr>
              <w:t> </w:t>
            </w:r>
          </w:p>
        </w:tc>
        <w:tc>
          <w:tcPr>
            <w:tcW w:w="12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345</w:t>
            </w:r>
            <w:r>
              <w:rPr>
                <w:color w:val="000000"/>
              </w:rPr>
              <w:t> </w:t>
            </w:r>
          </w:p>
        </w:tc>
        <w:tc>
          <w:tcPr>
            <w:tcW w:w="12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296</w:t>
            </w:r>
            <w:r>
              <w:rPr>
                <w:color w:val="000000"/>
              </w:rPr>
              <w:t> </w:t>
            </w:r>
          </w:p>
        </w:tc>
        <w:tc>
          <w:tcPr>
            <w:tcW w:w="12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641</w:t>
            </w:r>
            <w:r>
              <w:rPr>
                <w:color w:val="000000"/>
              </w:rPr>
              <w:t> </w:t>
            </w:r>
          </w:p>
        </w:tc>
        <w:tc>
          <w:tcPr>
            <w:tcW w:w="23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shares before assimilation</w:t>
            </w:r>
          </w:p>
        </w:tc>
        <w:tc>
          <w:tcPr>
            <w:tcW w:w="1217"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(34,106,548)</w:t>
            </w:r>
          </w:p>
        </w:tc>
        <w:tc>
          <w:tcPr>
            <w:tcW w:w="12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2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32"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Assimilation of ordinary A and B shares into ordinary shares on January 29, 2022</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(4,101,239,499)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(3,548,786,406)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7,650,025,905 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Repurchases of B shares on January 27 and 28, 2022, cancelled as ordinary shares on February 2 and 3, 2022 </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(507,742)</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shares after assimilation</w:t>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(646,014,770)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At December 31, 2022</w:t>
            </w:r>
          </w:p>
        </w:tc>
        <w:tc>
          <w:tcPr>
            <w:tcW w:w="1338" w:type="dxa"/>
            <w:gridSpan w:val="3"/>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7,003,503,393</w:t>
            </w:r>
            <w:r>
              <w:rPr>
                <w:color w:val="000000"/>
              </w:rPr>
              <w:t> </w:t>
            </w:r>
          </w:p>
        </w:tc>
        <w:tc>
          <w:tcPr>
            <w:tcW w:w="313"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584</w:t>
            </w:r>
            <w:r>
              <w:rPr>
                <w:color w:val="000000"/>
              </w:rPr>
              <w:t> </w:t>
            </w:r>
          </w:p>
        </w:tc>
        <w:tc>
          <w:tcPr>
            <w:tcW w:w="313"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584</w:t>
            </w:r>
            <w:r>
              <w:rPr>
                <w:color w:val="000000"/>
              </w:rPr>
              <w:t> </w:t>
            </w:r>
          </w:p>
        </w:tc>
        <w:tc>
          <w:tcPr>
            <w:tcW w:w="232"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42"/>
        <w:jc w:val="left"/>
        <w:rPr/>
      </w:pPr>
      <w:r>
        <w:rPr>
          <w:rFonts w:ascii="Times New Roman;sans-serif" w:hAnsi="Times New Roman;sans-serif"/>
          <w:b w:val="false"/>
          <w:color w:val="595959"/>
          <w:sz w:val="13"/>
        </w:rPr>
        <w:t xml:space="preserve">1. </w:t>
      </w:r>
      <w:r>
        <w:rPr>
          <w:rFonts w:ascii="Times New Roman;sans-serif" w:hAnsi="Times New Roman;sans-serif"/>
          <w:b w:val="false"/>
          <w:color w:val="000000"/>
          <w:sz w:val="20"/>
        </w:rPr>
        <w:t xml:space="preserve">Share capital at December 31, 2022, also included 50,000 issued and fully paid sterling deferred shares of £1 each, which were redeemed on March 27, 2023. Upon redemption, the sterling deferred shares were treated as cancelled and the Company's issued share capital was reduced by the nominal value of the shares redeemed in accordance with section 688 of the UK Companies Act 2006.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29, 2022, as part of the simplification announced on December 20, 2021, the Company's A shares and B shares assimilated into a single line of ordinary shares. This is reflected in the above table.</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Shell plc’s Annual General Meeting on May 23, 2023, the Board was authorised to allot ordinary shares in Shell plc, and to grant rights to subscribe for, or to convert, any security into ordinary shares in Shell plc, up to an aggregate nominal amount of approximately €161 million (representing approximately 2,307 million ordinary shares of €0.07 each), and to list such shares or rights on any stock exchange. This authority expires at the earlier of the close of business on August 22, 2024, or the end of the Annual General Meeting to be held in 2024, unless previously renewed, revoked or varied by Shell plc in a general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ans-serif" w:hAnsi="Times New Roman;sans-serif"/>
          <w:b/>
          <w:color w:val="000000"/>
          <w:sz w:val="20"/>
        </w:rPr>
      </w:pPr>
      <w:r>
        <w:rPr>
          <w:rFonts w:ascii="Times New Roman;sans-serif" w:hAnsi="Times New Roman;sans-serif"/>
          <w:b/>
          <w:color w:val="000000"/>
          <w:sz w:val="20"/>
        </w:rPr>
        <w:t xml:space="preserve">6.    Other reserves </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OTHER RESERVES</w:t>
      </w:r>
    </w:p>
    <w:tbl>
      <w:tblPr>
        <w:tblW w:w="10205" w:type="dxa"/>
        <w:jc w:val="center"/>
        <w:tblInd w:w="0" w:type="dxa"/>
        <w:tblLayout w:type="fixed"/>
        <w:tblCellMar>
          <w:top w:w="28" w:type="dxa"/>
          <w:left w:w="28" w:type="dxa"/>
          <w:bottom w:w="28" w:type="dxa"/>
          <w:right w:w="28" w:type="dxa"/>
        </w:tblCellMar>
      </w:tblPr>
      <w:tblGrid>
        <w:gridCol w:w="885"/>
        <w:gridCol w:w="693"/>
        <w:gridCol w:w="545"/>
        <w:gridCol w:w="404"/>
        <w:gridCol w:w="343"/>
        <w:gridCol w:w="247"/>
        <w:gridCol w:w="109"/>
        <w:gridCol w:w="109"/>
        <w:gridCol w:w="109"/>
        <w:gridCol w:w="307"/>
        <w:gridCol w:w="307"/>
        <w:gridCol w:w="308"/>
        <w:gridCol w:w="109"/>
        <w:gridCol w:w="109"/>
        <w:gridCol w:w="109"/>
        <w:gridCol w:w="373"/>
        <w:gridCol w:w="373"/>
        <w:gridCol w:w="374"/>
        <w:gridCol w:w="109"/>
        <w:gridCol w:w="109"/>
        <w:gridCol w:w="109"/>
        <w:gridCol w:w="431"/>
        <w:gridCol w:w="255"/>
        <w:gridCol w:w="256"/>
        <w:gridCol w:w="109"/>
        <w:gridCol w:w="109"/>
        <w:gridCol w:w="109"/>
        <w:gridCol w:w="499"/>
        <w:gridCol w:w="499"/>
        <w:gridCol w:w="500"/>
        <w:gridCol w:w="109"/>
        <w:gridCol w:w="109"/>
        <w:gridCol w:w="109"/>
        <w:gridCol w:w="368"/>
        <w:gridCol w:w="368"/>
        <w:gridCol w:w="235"/>
      </w:tblGrid>
      <w:tr>
        <w:trPr/>
        <w:tc>
          <w:tcPr>
            <w:tcW w:w="88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million</w:t>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Merger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premium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 redemption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plan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23"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At January 1, 2023</w:t>
            </w:r>
          </w:p>
        </w:tc>
        <w:tc>
          <w:tcPr>
            <w:tcW w:w="747"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37,298</w:t>
            </w:r>
            <w:r>
              <w:rPr>
                <w:color w:val="000000"/>
              </w:rPr>
              <w:t> </w:t>
            </w:r>
          </w:p>
        </w:tc>
        <w:tc>
          <w:tcPr>
            <w:tcW w:w="247"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154</w:t>
            </w:r>
            <w:r>
              <w:rPr>
                <w:color w:val="000000"/>
              </w:rPr>
              <w:t> </w:t>
            </w:r>
          </w:p>
        </w:tc>
        <w:tc>
          <w:tcPr>
            <w:tcW w:w="308"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w:t>
            </w:r>
            <w:r>
              <w:rPr>
                <w:color w:val="000000"/>
              </w:rPr>
              <w:t> </w:t>
            </w:r>
          </w:p>
        </w:tc>
        <w:tc>
          <w:tcPr>
            <w:tcW w:w="374"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1,140</w:t>
            </w:r>
            <w:r>
              <w:rPr>
                <w:color w:val="000000"/>
              </w:rPr>
              <w:t> </w:t>
            </w:r>
          </w:p>
        </w:tc>
        <w:tc>
          <w:tcPr>
            <w:tcW w:w="256"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(17,656)</w:t>
            </w:r>
          </w:p>
        </w:tc>
        <w:tc>
          <w:tcPr>
            <w:tcW w:w="500"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21,132</w:t>
            </w:r>
            <w:r>
              <w:rPr>
                <w:color w:val="000000"/>
              </w:rPr>
              <w:t> </w:t>
            </w:r>
          </w:p>
        </w:tc>
        <w:tc>
          <w:tcPr>
            <w:tcW w:w="235"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income/(loss) attributable to Shell plc shareholders</w:t>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from other comprehensive income</w:t>
            </w:r>
          </w:p>
        </w:tc>
        <w:tc>
          <w:tcPr>
            <w:tcW w:w="7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shares</w:t>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7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At December 31, 2023</w:t>
            </w:r>
          </w:p>
        </w:tc>
        <w:tc>
          <w:tcPr>
            <w:tcW w:w="7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37,298</w:t>
            </w:r>
            <w:r>
              <w:rPr>
                <w:color w:val="000000"/>
              </w:rPr>
              <w:t> </w:t>
            </w:r>
          </w:p>
        </w:tc>
        <w:tc>
          <w:tcPr>
            <w:tcW w:w="24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154</w:t>
            </w:r>
            <w:r>
              <w:rPr>
                <w:color w:val="000000"/>
              </w:rPr>
              <w:t> </w:t>
            </w:r>
          </w:p>
        </w:tc>
        <w:tc>
          <w:tcPr>
            <w:tcW w:w="30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236</w:t>
            </w:r>
            <w:r>
              <w:rPr>
                <w:color w:val="000000"/>
              </w:rPr>
              <w:t> </w:t>
            </w:r>
          </w:p>
        </w:tc>
        <w:tc>
          <w:tcPr>
            <w:tcW w:w="37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1,308</w:t>
            </w:r>
            <w:r>
              <w:rPr>
                <w:color w:val="000000"/>
              </w:rPr>
              <w:t> </w:t>
            </w:r>
          </w:p>
        </w:tc>
        <w:tc>
          <w:tcPr>
            <w:tcW w:w="2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(17,851)</w:t>
            </w:r>
          </w:p>
        </w:tc>
        <w:tc>
          <w:tcPr>
            <w:tcW w:w="50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21,145</w:t>
            </w:r>
            <w:r>
              <w:rPr>
                <w:color w:val="000000"/>
              </w:rPr>
              <w:t> </w:t>
            </w:r>
          </w:p>
        </w:tc>
        <w:tc>
          <w:tcPr>
            <w:tcW w:w="23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At January 1, 2022</w:t>
            </w:r>
          </w:p>
        </w:tc>
        <w:tc>
          <w:tcPr>
            <w:tcW w:w="747"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37,298</w:t>
            </w:r>
            <w:r>
              <w:rPr>
                <w:color w:val="000000"/>
              </w:rPr>
              <w:t> </w:t>
            </w:r>
          </w:p>
        </w:tc>
        <w:tc>
          <w:tcPr>
            <w:tcW w:w="247"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154</w:t>
            </w:r>
            <w:r>
              <w:rPr>
                <w:color w:val="000000"/>
              </w:rPr>
              <w:t> </w:t>
            </w:r>
          </w:p>
        </w:tc>
        <w:tc>
          <w:tcPr>
            <w:tcW w:w="308"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w:t>
            </w:r>
            <w:r>
              <w:rPr>
                <w:color w:val="000000"/>
              </w:rPr>
              <w:t> </w:t>
            </w:r>
          </w:p>
        </w:tc>
        <w:tc>
          <w:tcPr>
            <w:tcW w:w="374"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964</w:t>
            </w:r>
            <w:r>
              <w:rPr>
                <w:color w:val="000000"/>
              </w:rPr>
              <w:t> </w:t>
            </w:r>
          </w:p>
        </w:tc>
        <w:tc>
          <w:tcPr>
            <w:tcW w:w="256"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(19,646)</w:t>
            </w:r>
          </w:p>
        </w:tc>
        <w:tc>
          <w:tcPr>
            <w:tcW w:w="500"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18,909</w:t>
            </w:r>
            <w:r>
              <w:rPr>
                <w:color w:val="000000"/>
              </w:rPr>
              <w:t> </w:t>
            </w:r>
          </w:p>
        </w:tc>
        <w:tc>
          <w:tcPr>
            <w:tcW w:w="235"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income/(loss) attributable to Shell plc shareholders</w:t>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2,024 </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from other comprehensive income</w:t>
            </w:r>
          </w:p>
        </w:tc>
        <w:tc>
          <w:tcPr>
            <w:tcW w:w="7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shares</w:t>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7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At December 31, 2022</w:t>
            </w:r>
          </w:p>
        </w:tc>
        <w:tc>
          <w:tcPr>
            <w:tcW w:w="747"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37,298</w:t>
            </w:r>
            <w:r>
              <w:rPr>
                <w:color w:val="000000"/>
              </w:rPr>
              <w:t> </w:t>
            </w:r>
          </w:p>
        </w:tc>
        <w:tc>
          <w:tcPr>
            <w:tcW w:w="24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154</w:t>
            </w:r>
            <w:r>
              <w:rPr>
                <w:color w:val="000000"/>
              </w:rPr>
              <w:t> </w:t>
            </w:r>
          </w:p>
        </w:tc>
        <w:tc>
          <w:tcPr>
            <w:tcW w:w="30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w:t>
            </w:r>
            <w:r>
              <w:rPr>
                <w:color w:val="000000"/>
              </w:rPr>
              <w:t> </w:t>
            </w:r>
          </w:p>
        </w:tc>
        <w:tc>
          <w:tcPr>
            <w:tcW w:w="37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1,140</w:t>
            </w:r>
            <w:r>
              <w:rPr>
                <w:color w:val="000000"/>
              </w:rPr>
              <w:t> </w:t>
            </w:r>
          </w:p>
        </w:tc>
        <w:tc>
          <w:tcPr>
            <w:tcW w:w="25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(17,656)</w:t>
            </w:r>
          </w:p>
        </w:tc>
        <w:tc>
          <w:tcPr>
            <w:tcW w:w="50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21,132</w:t>
            </w:r>
            <w:r>
              <w:rPr>
                <w:color w:val="000000"/>
              </w:rPr>
              <w:t> </w:t>
            </w:r>
          </w:p>
        </w:tc>
        <w:tc>
          <w:tcPr>
            <w:tcW w:w="23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merger reserve and share premium reserve were established as a consequence of Shell plc (formerly Royal Dutch Shell plc) becoming the single parent company of Royal Dutch Petroleum Company and The “Shell” Transport and Trading Company, p.l.c., now The Shell Transport and Trading Company Limited, in 2005. The merger reserve increased in 2016 following the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24</w:t>
                      </w:r>
                    </w:p>
                  </w:txbxContent>
                </v:textbox>
                <w10:wrap type="none"/>
              </v:rect>
            </w:pict>
          </mc:Fallback>
        </mc:AlternateConten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shares for the acquisition of BG Group plc. The capital redemption reserve was established in connection with repurchases of shares of Shell plc. The share plan reserve is in respect of equity-settled share-based compensation plans.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ans-serif" w:hAnsi="Times New Roman;sans-serif"/>
          <w:b/>
          <w:color w:val="000000"/>
          <w:sz w:val="20"/>
        </w:rPr>
      </w:pPr>
      <w:r>
        <w:rPr>
          <w:rFonts w:ascii="Times New Roman;sans-serif" w:hAnsi="Times New Roman;sans-serif"/>
          <w:b/>
          <w:color w:val="000000"/>
          <w:sz w:val="20"/>
        </w:rPr>
        <w:t xml:space="preserve">7.    Derivative financial instruments and debt excluding lease liabilities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disclosed in the Consolidated Financial Statements for the year ended December 31, 2022, presented in the Annual Report and Accounts and Form 20-F for that year, Shell is exposed to the risks of changes in fair value of its financial assets and liabilities. The fair values of the financial assets and liabilities are defined as the price that would be received to sell an asset or paid to transfer a liability in an orderly transaction between market participants at the measurement date. Methods and assumptions used to estimate the fair values at December 31, 2023, are consistent with those used in the year ended December 31, 2022, though the carrying amounts of derivative financial instruments have changed since that date. The movement of the derivative financial instruments between December 31, 2022 and December 31, 2023 is a decrease of $9,339 million for the current assets and a decrease of $14,250 million for the current liabilities.</w:t>
      </w:r>
    </w:p>
    <w:p>
      <w:pPr>
        <w:pStyle w:val="TextBody"/>
        <w:bidi w:val="0"/>
        <w:spacing w:lineRule="auto" w:line="288" w:before="0" w:after="120"/>
        <w:jc w:val="left"/>
        <w:rPr/>
      </w:pPr>
      <w:r>
        <w:rPr>
          <w:rFonts w:ascii="Times New Roman;sans-serif" w:hAnsi="Times New Roman;sans-serif"/>
          <w:b w:val="false"/>
          <w:color w:val="000000"/>
          <w:sz w:val="20"/>
        </w:rPr>
        <w:t>The table below provides the comparison of the fair value with the carrying amount of debt excluding lease liabilities, disclosed in accordance with IFRS 7</w:t>
      </w:r>
      <w:r>
        <w:rPr>
          <w:color w:val="000000"/>
        </w:rPr>
        <w:t xml:space="preserve"> </w:t>
      </w:r>
      <w:r>
        <w:rPr>
          <w:rFonts w:ascii="Times New Roman;sans-serif" w:hAnsi="Times New Roman;sans-serif"/>
          <w:b w:val="false"/>
          <w:color w:val="000000"/>
          <w:sz w:val="20"/>
        </w:rPr>
        <w:t>Financial Instruments: Disclosures.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DEBT EXCLUDING LEASE LIABILITIES</w:t>
      </w:r>
    </w:p>
    <w:tbl>
      <w:tblPr>
        <w:tblW w:w="4869" w:type="dxa"/>
        <w:jc w:val="center"/>
        <w:tblInd w:w="0" w:type="dxa"/>
        <w:tblLayout w:type="fixed"/>
        <w:tblCellMar>
          <w:top w:w="28" w:type="dxa"/>
          <w:left w:w="28" w:type="dxa"/>
          <w:bottom w:w="28" w:type="dxa"/>
          <w:right w:w="28" w:type="dxa"/>
        </w:tblCellMar>
      </w:tblPr>
      <w:tblGrid>
        <w:gridCol w:w="542"/>
        <w:gridCol w:w="476"/>
        <w:gridCol w:w="481"/>
        <w:gridCol w:w="499"/>
        <w:gridCol w:w="499"/>
        <w:gridCol w:w="501"/>
        <w:gridCol w:w="109"/>
        <w:gridCol w:w="109"/>
        <w:gridCol w:w="109"/>
        <w:gridCol w:w="452"/>
        <w:gridCol w:w="452"/>
        <w:gridCol w:w="640"/>
      </w:tblGrid>
      <w:tr>
        <w:trPr/>
        <w:tc>
          <w:tcPr>
            <w:tcW w:w="54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499"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amount</w:t>
            </w:r>
          </w:p>
        </w:tc>
        <w:tc>
          <w:tcPr>
            <w:tcW w:w="1499"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53,832</w:t>
            </w:r>
          </w:p>
        </w:tc>
        <w:tc>
          <w:tcPr>
            <w:tcW w:w="327"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56,152</w:t>
            </w:r>
          </w:p>
        </w:tc>
      </w:tr>
      <w:tr>
        <w:trPr/>
        <w:tc>
          <w:tcPr>
            <w:tcW w:w="1499"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value¹</w:t>
            </w:r>
          </w:p>
        </w:tc>
        <w:tc>
          <w:tcPr>
            <w:tcW w:w="1499"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50,866</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51,959</w:t>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450"/>
        <w:jc w:val="left"/>
        <w:rPr/>
      </w:pPr>
      <w:r>
        <w:rPr>
          <w:rFonts w:ascii="Times New Roman;sans-serif" w:hAnsi="Times New Roman;sans-serif"/>
          <w:b w:val="false"/>
          <w:color w:val="595959"/>
          <w:sz w:val="13"/>
        </w:rPr>
        <w:t>1</w:t>
      </w:r>
      <w:r>
        <w:rPr>
          <w:rFonts w:ascii="Times New Roman;sans-serif" w:hAnsi="Times New Roman;sans-serif"/>
          <w:b w:val="false"/>
          <w:color w:val="000000"/>
          <w:sz w:val="13"/>
        </w:rPr>
        <w:t>.    </w:t>
      </w:r>
      <w:r>
        <w:rPr>
          <w:rFonts w:ascii="Times New Roman;sans-serif" w:hAnsi="Times New Roman;sans-serif"/>
          <w:b w:val="false"/>
          <w:color w:val="000000"/>
          <w:sz w:val="20"/>
        </w:rPr>
        <w:t xml:space="preserve">Mainly determined from the prices quoted for these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160"/>
        <w:jc w:val="left"/>
        <w:rPr/>
      </w:pPr>
      <w:r>
        <w:rPr>
          <w:rFonts w:ascii="Times New Roman;sans-serif" w:hAnsi="Times New Roman;sans-serif"/>
          <w:b/>
          <w:color w:val="000000"/>
          <w:sz w:val="20"/>
        </w:rPr>
        <w:t>8. Other notes to the unaudited Condensed Consolidated Financial Statements</w:t>
      </w:r>
      <w:r>
        <w:rPr>
          <w:color w:val="000000"/>
        </w:rPr>
        <w:t xml:space="preserve"> </w:t>
      </w:r>
    </w:p>
    <w:p>
      <w:pPr>
        <w:pStyle w:val="TextBody"/>
        <w:bidi w:val="0"/>
        <w:spacing w:lineRule="auto" w:line="256" w:before="0" w:after="60"/>
        <w:jc w:val="left"/>
        <w:rPr>
          <w:rFonts w:ascii="Times New Roman;sans-serif" w:hAnsi="Times New Roman;sans-serif"/>
          <w:b/>
          <w:color w:val="000000"/>
          <w:sz w:val="20"/>
        </w:rPr>
      </w:pPr>
      <w:r>
        <w:rPr>
          <w:rFonts w:ascii="Times New Roman;sans-serif" w:hAnsi="Times New Roman;sans-serif"/>
          <w:b/>
          <w:color w:val="000000"/>
          <w:sz w:val="20"/>
        </w:rPr>
        <w:t xml:space="preserve">Consolidated Statement of Income </w:t>
      </w:r>
    </w:p>
    <w:p>
      <w:pPr>
        <w:pStyle w:val="TextBody"/>
        <w:bidi w:val="0"/>
        <w:spacing w:before="0" w:after="60"/>
        <w:jc w:val="left"/>
        <w:rPr/>
      </w:pPr>
      <w:r>
        <w:rPr/>
      </w:r>
    </w:p>
    <w:p>
      <w:pPr>
        <w:pStyle w:val="TextBody"/>
        <w:bidi w:val="0"/>
        <w:spacing w:lineRule="auto" w:line="256"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w:t>
      </w:r>
    </w:p>
    <w:tbl>
      <w:tblPr>
        <w:tblW w:w="10205" w:type="dxa"/>
        <w:jc w:val="left"/>
        <w:tblInd w:w="0" w:type="dxa"/>
        <w:tblLayout w:type="fixed"/>
        <w:tblCellMar>
          <w:top w:w="28" w:type="dxa"/>
          <w:left w:w="28" w:type="dxa"/>
          <w:bottom w:w="28" w:type="dxa"/>
          <w:right w:w="28" w:type="dxa"/>
        </w:tblCellMar>
      </w:tblPr>
      <w:tblGrid>
        <w:gridCol w:w="290"/>
        <w:gridCol w:w="251"/>
        <w:gridCol w:w="222"/>
        <w:gridCol w:w="109"/>
        <w:gridCol w:w="109"/>
        <w:gridCol w:w="109"/>
        <w:gridCol w:w="244"/>
        <w:gridCol w:w="239"/>
        <w:gridCol w:w="227"/>
        <w:gridCol w:w="109"/>
        <w:gridCol w:w="109"/>
        <w:gridCol w:w="109"/>
        <w:gridCol w:w="264"/>
        <w:gridCol w:w="263"/>
        <w:gridCol w:w="227"/>
        <w:gridCol w:w="109"/>
        <w:gridCol w:w="109"/>
        <w:gridCol w:w="109"/>
        <w:gridCol w:w="1809"/>
        <w:gridCol w:w="1771"/>
        <w:gridCol w:w="1795"/>
        <w:gridCol w:w="315"/>
        <w:gridCol w:w="316"/>
        <w:gridCol w:w="156"/>
        <w:gridCol w:w="307"/>
        <w:gridCol w:w="309"/>
        <w:gridCol w:w="219"/>
      </w:tblGrid>
      <w:tr>
        <w:trPr/>
        <w:tc>
          <w:tcPr>
            <w:tcW w:w="2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16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Full year</w:t>
            </w:r>
          </w:p>
        </w:tc>
      </w:tr>
      <w:tr>
        <w:trPr/>
        <w:tc>
          <w:tcPr>
            <w:tcW w:w="76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3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63"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and other income/(expenses)</w:t>
            </w:r>
          </w:p>
        </w:tc>
        <w:tc>
          <w:tcPr>
            <w:tcW w:w="63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2,838</w:t>
            </w:r>
            <w:r>
              <w:rPr>
                <w:color w:val="000000"/>
              </w:rPr>
              <w:t>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915</w:t>
            </w:r>
            <w:r>
              <w:rPr>
                <w:color w:val="000000"/>
              </w:rPr>
              <w:t> </w:t>
            </w:r>
          </w:p>
        </w:tc>
        <w:tc>
          <w:tcPr>
            <w:tcW w:w="21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w:t>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income (from investments in equity securities)</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gains/(losses) on sales and revaluation of non-current assets and businesses</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foreign exchange gains/(losses) on financing activities</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22"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27"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27"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31"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56"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w:t>
            </w:r>
          </w:p>
        </w:tc>
        <w:tc>
          <w:tcPr>
            <w:tcW w:w="219"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2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and amortisation</w:t>
      </w:r>
    </w:p>
    <w:tbl>
      <w:tblPr>
        <w:tblW w:w="9136" w:type="dxa"/>
        <w:jc w:val="left"/>
        <w:tblInd w:w="0" w:type="dxa"/>
        <w:tblLayout w:type="fixed"/>
        <w:tblCellMar>
          <w:top w:w="28" w:type="dxa"/>
          <w:left w:w="28" w:type="dxa"/>
          <w:bottom w:w="28" w:type="dxa"/>
          <w:right w:w="28" w:type="dxa"/>
        </w:tblCellMar>
      </w:tblPr>
      <w:tblGrid>
        <w:gridCol w:w="399"/>
        <w:gridCol w:w="352"/>
        <w:gridCol w:w="240"/>
        <w:gridCol w:w="109"/>
        <w:gridCol w:w="109"/>
        <w:gridCol w:w="109"/>
        <w:gridCol w:w="315"/>
        <w:gridCol w:w="316"/>
        <w:gridCol w:w="246"/>
        <w:gridCol w:w="109"/>
        <w:gridCol w:w="109"/>
        <w:gridCol w:w="109"/>
        <w:gridCol w:w="315"/>
        <w:gridCol w:w="316"/>
        <w:gridCol w:w="246"/>
        <w:gridCol w:w="109"/>
        <w:gridCol w:w="109"/>
        <w:gridCol w:w="109"/>
        <w:gridCol w:w="1186"/>
        <w:gridCol w:w="1186"/>
        <w:gridCol w:w="1197"/>
        <w:gridCol w:w="368"/>
        <w:gridCol w:w="368"/>
        <w:gridCol w:w="156"/>
        <w:gridCol w:w="368"/>
        <w:gridCol w:w="368"/>
        <w:gridCol w:w="213"/>
      </w:tblGrid>
      <w:tr>
        <w:trPr/>
        <w:tc>
          <w:tcPr>
            <w:tcW w:w="39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Full year</w:t>
            </w:r>
          </w:p>
        </w:tc>
      </w:tr>
      <w:tr>
        <w:trPr/>
        <w:tc>
          <w:tcPr>
            <w:tcW w:w="99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94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5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11,221</w:t>
            </w:r>
            <w:r>
              <w:rPr>
                <w:color w:val="000000"/>
              </w:rPr>
              <w:t> </w:t>
            </w:r>
          </w:p>
        </w:tc>
        <w:tc>
          <w:tcPr>
            <w:tcW w:w="2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5,911</w:t>
            </w:r>
            <w:r>
              <w:rPr>
                <w:color w:val="000000"/>
              </w:rPr>
              <w:t> </w:t>
            </w:r>
          </w:p>
        </w:tc>
        <w:tc>
          <w:tcPr>
            <w:tcW w:w="24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6,459</w:t>
            </w:r>
            <w:r>
              <w:rPr>
                <w:color w:val="000000"/>
              </w:rPr>
              <w:t> </w:t>
            </w:r>
          </w:p>
        </w:tc>
        <w:tc>
          <w:tcPr>
            <w:tcW w:w="24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depletion and amortisation</w:t>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31,290</w:t>
            </w:r>
            <w:r>
              <w:rPr>
                <w:color w:val="000000"/>
              </w:rPr>
              <w:t>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18,529</w:t>
            </w:r>
            <w:r>
              <w:rPr>
                <w:color w:val="000000"/>
              </w:rPr>
              <w:t> </w:t>
            </w:r>
          </w:p>
        </w:tc>
        <w:tc>
          <w:tcPr>
            <w:tcW w:w="21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240"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246"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46"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reversals</w:t>
            </w:r>
          </w:p>
        </w:tc>
        <w:tc>
          <w:tcPr>
            <w:tcW w:w="73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w:t>
            </w:r>
          </w:p>
        </w:tc>
        <w:tc>
          <w:tcPr>
            <w:tcW w:w="156"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(6,177)</w:t>
            </w:r>
          </w:p>
        </w:tc>
        <w:tc>
          <w:tcPr>
            <w:tcW w:w="213"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Impairments recognised in the fourth quarter 2023 of $5,508 million pre-tax ($4,044 million post-tax) relate to various assets in Chemicals and Products ($2,490 million), Upstream ($1,161 million), Integrated Gas ($873 million), Renewables and Energy Solutions ($614 million) and Marketing ($370 million). Impairments in Chemicals and Products principally relate to the impairment of chemicals assets in Singapore triggered by lower expected chemicals margins and linked to portfolio choices. Impairments recognised in Upstream principally relate to projects in North America, Nigeria and the UK triggered by factors including revised reserves estimates and portfolio choices. Impairments recognised in Integrated Gas principally relate to a project in Australia triggered by factors including revised production estimates and regulatory changes. Impairments recognised in Renewables and Energy Solutions mainly relate to an asset in North America triggered by annual goodwill impairment testing reflecting factors including the impact of the deteriorated macro environment.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25</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Impairments recognised in the third quarter 2023 of $359 million pre-tax ($299 million post-tax) mainly related to various assets in Renewables and Energy Solutions and Chemicals and Products. Impairments in the fourth quarter 2022 mainly related to Renewables and Energy Solutions, Chemicals and Products and Upstream.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Condensed Consolidated Balance Sheet</w:t>
      </w:r>
    </w:p>
    <w:p>
      <w:pPr>
        <w:pStyle w:val="TextBody"/>
        <w:bidi w:val="0"/>
        <w:spacing w:lineRule="auto" w:line="300" w:before="2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w:t>
      </w:r>
    </w:p>
    <w:tbl>
      <w:tblPr>
        <w:tblW w:w="5691" w:type="dxa"/>
        <w:jc w:val="left"/>
        <w:tblInd w:w="0" w:type="dxa"/>
        <w:tblLayout w:type="fixed"/>
        <w:tblCellMar>
          <w:top w:w="28" w:type="dxa"/>
          <w:left w:w="28" w:type="dxa"/>
          <w:bottom w:w="28" w:type="dxa"/>
          <w:right w:w="28" w:type="dxa"/>
        </w:tblCellMar>
      </w:tblPr>
      <w:tblGrid>
        <w:gridCol w:w="721"/>
        <w:gridCol w:w="633"/>
        <w:gridCol w:w="640"/>
        <w:gridCol w:w="109"/>
        <w:gridCol w:w="109"/>
        <w:gridCol w:w="109"/>
        <w:gridCol w:w="499"/>
        <w:gridCol w:w="499"/>
        <w:gridCol w:w="501"/>
        <w:gridCol w:w="109"/>
        <w:gridCol w:w="109"/>
        <w:gridCol w:w="109"/>
        <w:gridCol w:w="452"/>
        <w:gridCol w:w="452"/>
        <w:gridCol w:w="640"/>
      </w:tblGrid>
      <w:tr>
        <w:trPr/>
        <w:tc>
          <w:tcPr>
            <w:tcW w:w="72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994"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7,815</w:t>
            </w:r>
          </w:p>
        </w:tc>
      </w:tr>
      <w:tr>
        <w:trPr/>
        <w:tc>
          <w:tcPr>
            <w:tcW w:w="1994"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16,186</w:t>
            </w:r>
          </w:p>
        </w:tc>
      </w:tr>
      <w:tr>
        <w:trPr/>
        <w:tc>
          <w:tcPr>
            <w:tcW w:w="1994" w:type="dxa"/>
            <w:gridSpan w:val="3"/>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deferred liability</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(8,893)</w:t>
            </w:r>
          </w:p>
        </w:tc>
        <w:tc>
          <w:tcPr>
            <w:tcW w:w="501"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(8,371)</w:t>
            </w:r>
          </w:p>
        </w:tc>
        <w:tc>
          <w:tcPr>
            <w:tcW w:w="640"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presentation in the balance sheet takes into consideration the offsetting of deferred tax assets and deferred tax liabilities within the same tax jurisdiction, where this is permitted. The overall deferred tax position in a particular tax jurisdiction determines if a deferred tax balance related to that jurisdiction is presented within deferred tax assets or deferred tax liabilities.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Shell's net deferred tax position was a liability of $8,893 million at December 31, 2023 (December 31, 2022: $8,371 million). The net increase in the net deferred tax liability is mainly driven by a reduction of the deferred tax asset due to the utilisation of tax losses partly offset by an increase of the deferred tax asset due to impairments.</w:t>
      </w:r>
    </w:p>
    <w:p>
      <w:pPr>
        <w:pStyle w:val="TextBody"/>
        <w:bidi w:val="0"/>
        <w:spacing w:lineRule="auto" w:line="300" w:before="2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Assets classified as held for sale</w:t>
      </w:r>
    </w:p>
    <w:tbl>
      <w:tblPr>
        <w:tblW w:w="9186" w:type="dxa"/>
        <w:jc w:val="left"/>
        <w:tblInd w:w="0" w:type="dxa"/>
        <w:tblLayout w:type="fixed"/>
        <w:tblCellMar>
          <w:top w:w="28" w:type="dxa"/>
          <w:left w:w="28" w:type="dxa"/>
          <w:bottom w:w="28" w:type="dxa"/>
          <w:right w:w="28" w:type="dxa"/>
        </w:tblCellMar>
      </w:tblPr>
      <w:tblGrid>
        <w:gridCol w:w="1983"/>
        <w:gridCol w:w="1740"/>
        <w:gridCol w:w="1766"/>
        <w:gridCol w:w="109"/>
        <w:gridCol w:w="109"/>
        <w:gridCol w:w="109"/>
        <w:gridCol w:w="499"/>
        <w:gridCol w:w="499"/>
        <w:gridCol w:w="501"/>
        <w:gridCol w:w="109"/>
        <w:gridCol w:w="109"/>
        <w:gridCol w:w="109"/>
        <w:gridCol w:w="452"/>
        <w:gridCol w:w="452"/>
        <w:gridCol w:w="640"/>
      </w:tblGrid>
      <w:tr>
        <w:trPr/>
        <w:tc>
          <w:tcPr>
            <w:tcW w:w="1983"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48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classified as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50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2,851 </w:t>
            </w:r>
          </w:p>
        </w:tc>
        <w:tc>
          <w:tcPr>
            <w:tcW w:w="6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directly associated with assets classified as held for sale</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w:t>
            </w:r>
          </w:p>
        </w:tc>
      </w:tr>
    </w:tbl>
    <w:p>
      <w:pPr>
        <w:pStyle w:val="TextBody"/>
        <w:bidi w:val="0"/>
        <w:spacing w:lineRule="auto" w:line="30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classified as held for sale and associated liabilities at December 31, 2023, principally relate to an asset in Chemicals and Products in Europe, a Renewables and Energy Solutions project in North America and an asset in Marketing in Asia. The major classes of assets and liabilities classified as held for sale at December 31, 2023, are Inventories ($463 million; December 31, 2022: $8 million) and Property, plant and equipment ($250 million; December 31, 2022: $2,526 million).</w:t>
      </w:r>
    </w:p>
    <w:p>
      <w:pPr>
        <w:pStyle w:val="TextBody"/>
        <w:bidi w:val="0"/>
        <w:spacing w:before="120" w:after="283"/>
        <w:jc w:val="left"/>
        <w:rPr/>
      </w:pPr>
      <w:r>
        <w:rPr/>
      </w:r>
    </w:p>
    <w:p>
      <w:pPr>
        <w:pStyle w:val="TextBody"/>
        <w:bidi w:val="0"/>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Retirement benefits</w:t>
      </w:r>
    </w:p>
    <w:tbl>
      <w:tblPr>
        <w:tblW w:w="5691" w:type="dxa"/>
        <w:jc w:val="left"/>
        <w:tblInd w:w="0" w:type="dxa"/>
        <w:tblLayout w:type="fixed"/>
        <w:tblCellMar>
          <w:top w:w="28" w:type="dxa"/>
          <w:left w:w="28" w:type="dxa"/>
          <w:bottom w:w="28" w:type="dxa"/>
          <w:right w:w="28" w:type="dxa"/>
        </w:tblCellMar>
      </w:tblPr>
      <w:tblGrid>
        <w:gridCol w:w="721"/>
        <w:gridCol w:w="633"/>
        <w:gridCol w:w="640"/>
        <w:gridCol w:w="109"/>
        <w:gridCol w:w="109"/>
        <w:gridCol w:w="109"/>
        <w:gridCol w:w="499"/>
        <w:gridCol w:w="499"/>
        <w:gridCol w:w="501"/>
        <w:gridCol w:w="109"/>
        <w:gridCol w:w="109"/>
        <w:gridCol w:w="109"/>
        <w:gridCol w:w="452"/>
        <w:gridCol w:w="452"/>
        <w:gridCol w:w="640"/>
      </w:tblGrid>
      <w:tr>
        <w:trPr/>
        <w:tc>
          <w:tcPr>
            <w:tcW w:w="72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994"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Retirement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9,151 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10,200 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Retirement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7,549 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7,296 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Surplus/(deficit)</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1,602</w:t>
            </w:r>
            <w:r>
              <w:rPr>
                <w:color w:val="000000"/>
              </w:rPr>
              <w:t> </w:t>
            </w:r>
          </w:p>
        </w:tc>
        <w:tc>
          <w:tcPr>
            <w:tcW w:w="501"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2,904</w:t>
            </w:r>
            <w:r>
              <w:rPr>
                <w:color w:val="000000"/>
              </w:rPr>
              <w:t> </w:t>
            </w:r>
          </w:p>
        </w:tc>
        <w:tc>
          <w:tcPr>
            <w:tcW w:w="640"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recognised in the balance sheet in relation to defined benefit plans include both plan assets and obligations that are presented on a net basis on a plan-by-plan basis. The change of the net retirement benefit liability is mainly driven by a decrease of the market yield on high-quality corporate bonds, a decrease in long-term inflation rate expectations, experience losses due to high short-term inflation and returns on plan assets.</w:t>
      </w:r>
    </w:p>
    <w:p>
      <w:pPr>
        <w:pStyle w:val="TextBody"/>
        <w:bidi w:val="0"/>
        <w:spacing w:before="0" w:after="0"/>
        <w:jc w:val="left"/>
        <w:rPr/>
      </w:pPr>
      <w:r>
        <w:rPr/>
      </w:r>
    </w:p>
    <w:p>
      <w:pPr>
        <w:pStyle w:val="TextBody"/>
        <w:bidi w:val="0"/>
        <w:spacing w:lineRule="auto" w:line="288" w:before="2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Decommissioning and other provisions</w:t>
      </w:r>
    </w:p>
    <w:p>
      <w:pPr>
        <w:pStyle w:val="TextBody"/>
        <w:bidi w:val="0"/>
        <w:spacing w:before="0" w:after="0"/>
        <w:jc w:val="left"/>
        <w:rPr/>
      </w:pPr>
      <w:r>
        <w:rPr/>
      </w:r>
    </w:p>
    <w:tbl>
      <w:tblPr>
        <w:tblW w:w="6996" w:type="dxa"/>
        <w:jc w:val="left"/>
        <w:tblInd w:w="0" w:type="dxa"/>
        <w:tblLayout w:type="fixed"/>
        <w:tblCellMar>
          <w:top w:w="28" w:type="dxa"/>
          <w:left w:w="28" w:type="dxa"/>
          <w:bottom w:w="28" w:type="dxa"/>
          <w:right w:w="28" w:type="dxa"/>
        </w:tblCellMar>
      </w:tblPr>
      <w:tblGrid>
        <w:gridCol w:w="1193"/>
        <w:gridCol w:w="1047"/>
        <w:gridCol w:w="1059"/>
        <w:gridCol w:w="109"/>
        <w:gridCol w:w="109"/>
        <w:gridCol w:w="109"/>
        <w:gridCol w:w="499"/>
        <w:gridCol w:w="499"/>
        <w:gridCol w:w="501"/>
        <w:gridCol w:w="109"/>
        <w:gridCol w:w="109"/>
        <w:gridCol w:w="109"/>
        <w:gridCol w:w="452"/>
        <w:gridCol w:w="452"/>
        <w:gridCol w:w="640"/>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liabilities</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299" w:type="dxa"/>
            <w:gridSpan w:val="3"/>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Decommissioning and other provisions</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22,531 </w:t>
            </w:r>
          </w:p>
        </w:tc>
        <w:tc>
          <w:tcPr>
            <w:tcW w:w="501"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23,845 </w:t>
            </w:r>
          </w:p>
        </w:tc>
        <w:tc>
          <w:tcPr>
            <w:tcW w:w="640"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26</w:t>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discount rate applied at December 31, 2023 was 4.5% (September 30, 2023: 3.25%, December 31, 2022: 3.25%). Besides movements such as additions, utilisation, accretion and the effect of currency translation, the change in non-current decommissioning and other provisions includes a decrease of $2,916 million as a result of the change in the discount rate, partly offset by an increase of $1,340 million resulting from changes in cost estimates for decommissioning &amp; restoration provisions.</w:t>
      </w:r>
    </w:p>
    <w:p>
      <w:pPr>
        <w:pStyle w:val="TextBody"/>
        <w:bidi w:val="0"/>
        <w:spacing w:lineRule="auto" w:line="288" w:before="2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bl>
      <w:tblPr>
        <w:tblW w:w="5782" w:type="dxa"/>
        <w:jc w:val="left"/>
        <w:tblInd w:w="0" w:type="dxa"/>
        <w:tblLayout w:type="fixed"/>
        <w:tblCellMar>
          <w:top w:w="28" w:type="dxa"/>
          <w:left w:w="28" w:type="dxa"/>
          <w:bottom w:w="28" w:type="dxa"/>
          <w:right w:w="28" w:type="dxa"/>
        </w:tblCellMar>
      </w:tblPr>
      <w:tblGrid>
        <w:gridCol w:w="754"/>
        <w:gridCol w:w="663"/>
        <w:gridCol w:w="668"/>
        <w:gridCol w:w="109"/>
        <w:gridCol w:w="109"/>
        <w:gridCol w:w="109"/>
        <w:gridCol w:w="499"/>
        <w:gridCol w:w="499"/>
        <w:gridCol w:w="501"/>
        <w:gridCol w:w="109"/>
        <w:gridCol w:w="109"/>
        <w:gridCol w:w="109"/>
        <w:gridCol w:w="452"/>
        <w:gridCol w:w="452"/>
        <w:gridCol w:w="640"/>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085" w:type="dxa"/>
            <w:gridSpan w:val="3"/>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w:t>
            </w:r>
          </w:p>
        </w:tc>
      </w:tr>
    </w:tbl>
    <w:p>
      <w:pPr>
        <w:pStyle w:val="TextBody"/>
        <w:bidi w:val="0"/>
        <w:spacing w:lineRule="auto" w:line="300"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non-controlling interest is mainly driven by dividend payments to non-controlling shareholders during the second quarter 2023.</w:t>
      </w:r>
    </w:p>
    <w:p>
      <w:pPr>
        <w:pStyle w:val="TextBody"/>
        <w:bidi w:val="0"/>
        <w:spacing w:lineRule="auto" w:line="300" w:before="200" w:after="120"/>
        <w:jc w:val="left"/>
        <w:rPr>
          <w:rFonts w:ascii="Times New Roman;sans-serif" w:hAnsi="Times New Roman;sans-serif"/>
          <w:b/>
          <w:color w:val="000000"/>
          <w:sz w:val="20"/>
        </w:rPr>
      </w:pPr>
      <w:r>
        <w:rPr>
          <w:rFonts w:ascii="Times New Roman;sans-serif" w:hAnsi="Times New Roman;sans-serif"/>
          <w:b/>
          <w:color w:val="000000"/>
          <w:sz w:val="20"/>
        </w:rPr>
        <w:t>Consolidated Statement of Cash Flows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 - Other</w:t>
      </w:r>
    </w:p>
    <w:tbl>
      <w:tblPr>
        <w:tblW w:w="5089" w:type="dxa"/>
        <w:jc w:val="left"/>
        <w:tblInd w:w="0" w:type="dxa"/>
        <w:tblLayout w:type="fixed"/>
        <w:tblCellMar>
          <w:top w:w="28" w:type="dxa"/>
          <w:left w:w="28" w:type="dxa"/>
          <w:bottom w:w="28" w:type="dxa"/>
          <w:right w:w="28" w:type="dxa"/>
        </w:tblCellMar>
      </w:tblPr>
      <w:tblGrid>
        <w:gridCol w:w="271"/>
        <w:gridCol w:w="238"/>
        <w:gridCol w:w="240"/>
        <w:gridCol w:w="109"/>
        <w:gridCol w:w="109"/>
        <w:gridCol w:w="109"/>
        <w:gridCol w:w="244"/>
        <w:gridCol w:w="244"/>
        <w:gridCol w:w="246"/>
        <w:gridCol w:w="109"/>
        <w:gridCol w:w="109"/>
        <w:gridCol w:w="109"/>
        <w:gridCol w:w="244"/>
        <w:gridCol w:w="244"/>
        <w:gridCol w:w="246"/>
        <w:gridCol w:w="109"/>
        <w:gridCol w:w="109"/>
        <w:gridCol w:w="109"/>
        <w:gridCol w:w="245"/>
        <w:gridCol w:w="245"/>
        <w:gridCol w:w="246"/>
        <w:gridCol w:w="178"/>
        <w:gridCol w:w="178"/>
        <w:gridCol w:w="183"/>
        <w:gridCol w:w="179"/>
        <w:gridCol w:w="179"/>
        <w:gridCol w:w="258"/>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8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115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Full year</w:t>
            </w:r>
          </w:p>
        </w:tc>
      </w:tr>
      <w:tr>
        <w:trPr/>
        <w:tc>
          <w:tcPr>
            <w:tcW w:w="74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1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49" w:type="dxa"/>
            <w:gridSpan w:val="3"/>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39" w:type="dxa"/>
            <w:gridSpan w:val="3"/>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w:t>
            </w:r>
          </w:p>
        </w:tc>
        <w:tc>
          <w:tcPr>
            <w:tcW w:w="616" w:type="dxa"/>
            <w:gridSpan w:val="3"/>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w:t>
            </w:r>
          </w:p>
        </w:tc>
      </w:tr>
    </w:tbl>
    <w:p>
      <w:pPr>
        <w:pStyle w:val="TextBody"/>
        <w:bidi w:val="0"/>
        <w:spacing w:lineRule="auto" w:line="292"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 - Other for the fourth quarter 2023 includes $875 million of net outflows (third quarter 2023: $630 million net outflows; fourth quarter 2022: $541 million net outflows) due to the timing of payments relating to emission certificates and biofuel programmes in Europe and North America and $398 million in relation to reversal of currency exchange gains on Cash and cash equivalents (third quarter 2023: $336 million losses; fourth quarter 2022: $683 million gains).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ans-serif" w:hAnsi="Times New Roman;sans-serif"/>
          <w:b/>
          <w:color w:val="000000"/>
          <w:sz w:val="20"/>
        </w:rPr>
      </w:pPr>
      <w:r>
        <w:rPr>
          <w:rFonts w:ascii="Times New Roman;sans-serif" w:hAnsi="Times New Roman;sans-serif"/>
          <w:b/>
          <w:color w:val="000000"/>
          <w:sz w:val="20"/>
        </w:rPr>
        <w:t>9. Post-balance sheet events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16, 2024, Shell reached an agreement to sell its Nigerian onshore subsidiary The Shell Petroleum Development Company of Nigeria Limited (SPDC) for a consideration of $1.3 billion with additional cash payments up to $1.1 billion as well as further contingent payments. Under the agreed deal structure, economic performance accrues to the buyer with effect from December 31, 2021, however, Shell will continue to consolidate SPDC until control transfers at completion. At completion Shell will provide secured term loans of up to $1.2 billion and additional financing of up to $1.3 billion over future years. Completion of the transaction is subject to approvals by the Federal Government of Nigeria and other conditions.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30, 2024, the principal defined benefit pension plan in the USA, Shell Pension Plan, entered into a contract with an external party to settle $5,052 million of pension liabilities. The settlement price consisted of $4,920 million of pension assets. As a result of this transaction, all legal and constructive obligations for a tranche of benefits provided by the Shell Pension Plan have been eliminated. No significant impact is expected on the Group income statement, balance sheet or cashflow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27</w:t>
                      </w:r>
                    </w:p>
                  </w:txbxContent>
                </v:textbox>
                <w10:wrap type="none"/>
              </v:rect>
            </w:pict>
          </mc:Fallback>
        </mc:AlternateContent>
      </w:r>
    </w:p>
    <w:p>
      <w:pPr>
        <w:pStyle w:val="TextBody"/>
        <w:bidi w:val="0"/>
        <w:spacing w:lineRule="auto" w:line="288" w:before="200" w:after="120"/>
        <w:jc w:val="left"/>
        <w:rPr>
          <w:rFonts w:ascii="Times New Roman;sans-serif" w:hAnsi="Times New Roman;sans-serif"/>
          <w:b/>
          <w:color w:val="FF0000"/>
          <w:sz w:val="20"/>
        </w:rPr>
      </w:pPr>
      <w:r>
        <w:rPr>
          <w:rFonts w:ascii="Times New Roman;sans-serif" w:hAnsi="Times New Roman;sans-serif"/>
          <w:b/>
          <w:color w:val="FF0000"/>
          <w:sz w:val="20"/>
        </w:rPr>
        <w:t xml:space="preserve">ALTERNATIVE PERFORMANCE (NON-GAAP) MEASURES </w:t>
      </w:r>
    </w:p>
    <w:p>
      <w:pPr>
        <w:pStyle w:val="TextBody"/>
        <w:bidi w:val="0"/>
        <w:spacing w:lineRule="auto" w:line="288" w:before="0" w:after="120"/>
        <w:ind w:left="0" w:right="0" w:hanging="540"/>
        <w:jc w:val="left"/>
        <w:rPr/>
      </w:pPr>
      <w:r>
        <w:rPr>
          <w:rFonts w:ascii="Times New Roman;sans-serif" w:hAnsi="Times New Roman;sans-serif"/>
          <w:b/>
          <w:color w:val="000000"/>
          <w:sz w:val="20"/>
        </w:rPr>
        <w:t>A.</w:t>
      </w:r>
      <w:r>
        <w:rPr>
          <w:rFonts w:ascii="Times New Roman;sans-serif" w:hAnsi="Times New Roman;sans-serif"/>
          <w:b/>
          <w:color w:val="000000"/>
          <w:sz w:val="22"/>
        </w:rPr>
        <w:t>Adjusted Earnings, Adjusted earnings before interest, taxes, depreciation and amortisation (“Adjusted EBITDA”) and Cash flow from operating activities</w:t>
      </w:r>
      <w:r>
        <w:rPr>
          <w:color w:val="000000"/>
        </w:rPr>
        <w:t xml:space="preserve">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“Adjusted Earnings” measure aims to facilitate a comparative understanding of Shell’s financial performance from period to period by removing the effects of oil price changes on inventory carrying amounts and removing the effects of identified items. These items are in some cases driven by external factors and may, either individually or collectively, hinder the comparative understanding of Shell’s financial results from period to period. This measure excludes earnings attributable to non-controlling interest.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“Adjusted EBITDA” as “Income/(loss) for the period” adjusted for current cost of supplies; identified items; tax charge/(credit); depreciation, amortisation and depletion; exploration well write-offs and net interest expense. All items include the non-controlling interest component. Management uses this measure to evaluate Shell's performance in the period and over time. </w:t>
      </w:r>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Adjusted earnings</w:t>
      </w:r>
    </w:p>
    <w:tbl>
      <w:tblPr>
        <w:tblW w:w="10205" w:type="dxa"/>
        <w:jc w:val="left"/>
        <w:tblInd w:w="0" w:type="dxa"/>
        <w:tblLayout w:type="fixed"/>
        <w:tblCellMar>
          <w:top w:w="28" w:type="dxa"/>
          <w:left w:w="28" w:type="dxa"/>
          <w:bottom w:w="28" w:type="dxa"/>
          <w:right w:w="28" w:type="dxa"/>
        </w:tblCellMar>
      </w:tblPr>
      <w:tblGrid>
        <w:gridCol w:w="377"/>
        <w:gridCol w:w="315"/>
        <w:gridCol w:w="221"/>
        <w:gridCol w:w="315"/>
        <w:gridCol w:w="316"/>
        <w:gridCol w:w="227"/>
        <w:gridCol w:w="368"/>
        <w:gridCol w:w="368"/>
        <w:gridCol w:w="227"/>
        <w:gridCol w:w="1811"/>
        <w:gridCol w:w="1795"/>
        <w:gridCol w:w="1814"/>
        <w:gridCol w:w="368"/>
        <w:gridCol w:w="368"/>
        <w:gridCol w:w="156"/>
        <w:gridCol w:w="368"/>
        <w:gridCol w:w="368"/>
        <w:gridCol w:w="156"/>
        <w:gridCol w:w="109"/>
        <w:gridCol w:w="158"/>
      </w:tblGrid>
      <w:tr>
        <w:trPr/>
        <w:tc>
          <w:tcPr>
            <w:tcW w:w="37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3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178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Full year</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91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85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96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5420"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9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474</w:t>
            </w:r>
            <w:r>
              <w:rPr>
                <w:color w:val="000000"/>
              </w:rPr>
              <w:t> </w:t>
            </w:r>
          </w:p>
        </w:tc>
        <w:tc>
          <w:tcPr>
            <w:tcW w:w="22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7,044</w:t>
            </w:r>
            <w:r>
              <w:rPr>
                <w:color w:val="000000"/>
              </w:rPr>
              <w:t> </w:t>
            </w:r>
          </w:p>
        </w:tc>
        <w:tc>
          <w:tcPr>
            <w:tcW w:w="22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10,409</w:t>
            </w:r>
            <w:r>
              <w:rPr>
                <w:color w:val="000000"/>
              </w:rPr>
              <w:t> </w:t>
            </w:r>
          </w:p>
        </w:tc>
        <w:tc>
          <w:tcPr>
            <w:tcW w:w="22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Income/(loss) attributable to Shell plc shareholders</w:t>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19,360</w:t>
            </w:r>
            <w:r>
              <w:rPr>
                <w:color w:val="000000"/>
              </w:rPr>
              <w:t>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42,309</w:t>
            </w:r>
            <w:r>
              <w:rPr>
                <w:color w:val="000000"/>
              </w:rPr>
              <w:t>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22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w:t>
            </w:r>
          </w:p>
        </w:tc>
        <w:tc>
          <w:tcPr>
            <w:tcW w:w="22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22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Add: Current cost of supplies adjustment attributable to Shell plc shareholders</w:t>
            </w:r>
            <w:r>
              <w:rPr>
                <w:rFonts w:ascii="Times New Roman;sans-serif" w:hAnsi="Times New Roman;sans-serif"/>
                <w:b w:val="false"/>
                <w:color w:val="000000"/>
                <w:sz w:val="13"/>
              </w:rPr>
              <w:t>1</w:t>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13"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 which: </w:t>
            </w:r>
          </w:p>
        </w:tc>
        <w:tc>
          <w:tcPr>
            <w:tcW w:w="89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Chemicals and Products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1,285</w:t>
            </w:r>
            <w:r>
              <w:rPr>
                <w:color w:val="000000"/>
              </w:rPr>
              <w:t> </w:t>
            </w:r>
          </w:p>
        </w:tc>
        <w:tc>
          <w:tcPr>
            <w:tcW w:w="2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6,075</w:t>
            </w:r>
            <w:r>
              <w:rPr>
                <w:color w:val="000000"/>
              </w:rPr>
              <w:t> </w:t>
            </w:r>
          </w:p>
        </w:tc>
        <w:tc>
          <w:tcPr>
            <w:tcW w:w="2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11,313</w:t>
            </w:r>
            <w:r>
              <w:rPr>
                <w:color w:val="000000"/>
              </w:rPr>
              <w:t> </w:t>
            </w:r>
          </w:p>
        </w:tc>
        <w:tc>
          <w:tcPr>
            <w:tcW w:w="2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CCS earnings attributable to Shell plc shareholders</w:t>
            </w:r>
            <w:r>
              <w:rPr>
                <w:rFonts w:ascii="Times New Roman;sans-serif" w:hAnsi="Times New Roman;sans-serif"/>
                <w:b/>
                <w:color w:val="000000"/>
                <w:sz w:val="13"/>
              </w:rPr>
              <w:t>1</w:t>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20,010</w:t>
            </w:r>
            <w:r>
              <w:rPr>
                <w:color w:val="000000"/>
              </w:rPr>
              <w:t>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41,113</w:t>
            </w:r>
            <w:r>
              <w:rPr>
                <w:color w:val="000000"/>
              </w:rPr>
              <w:t>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w:t>
            </w:r>
          </w:p>
        </w:tc>
        <w:tc>
          <w:tcPr>
            <w:tcW w:w="8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Chemicals and Products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and Energy Solutions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(6,022)</w:t>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(149)</w:t>
            </w:r>
          </w:p>
        </w:tc>
        <w:tc>
          <w:tcPr>
            <w:tcW w:w="2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1,498</w:t>
            </w:r>
            <w:r>
              <w:rPr>
                <w:color w:val="000000"/>
              </w:rPr>
              <w:t> </w:t>
            </w:r>
          </w:p>
        </w:tc>
        <w:tc>
          <w:tcPr>
            <w:tcW w:w="2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Less: Identified items attributable to Shell plc shareholders</w:t>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(8,240)</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1,243</w:t>
            </w:r>
            <w:r>
              <w:rPr>
                <w:color w:val="000000"/>
              </w:rPr>
              <w:t>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1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w:t>
            </w:r>
          </w:p>
        </w:tc>
        <w:tc>
          <w:tcPr>
            <w:tcW w:w="89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Chemicals and Products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and Energy Solutions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7,306</w:t>
            </w:r>
            <w:r>
              <w:rPr>
                <w:color w:val="000000"/>
              </w:rPr>
              <w:t> </w:t>
            </w:r>
          </w:p>
        </w:tc>
        <w:tc>
          <w:tcPr>
            <w:tcW w:w="2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6,224</w:t>
            </w:r>
            <w:r>
              <w:rPr>
                <w:color w:val="000000"/>
              </w:rPr>
              <w:t> </w:t>
            </w:r>
          </w:p>
        </w:tc>
        <w:tc>
          <w:tcPr>
            <w:tcW w:w="2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9,814</w:t>
            </w:r>
            <w:r>
              <w:rPr>
                <w:color w:val="000000"/>
              </w:rPr>
              <w:t> </w:t>
            </w:r>
          </w:p>
        </w:tc>
        <w:tc>
          <w:tcPr>
            <w:tcW w:w="2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Earnings</w:t>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28,250</w:t>
            </w:r>
            <w:r>
              <w:rPr>
                <w:color w:val="000000"/>
              </w:rPr>
              <w:t>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39,870</w:t>
            </w:r>
            <w:r>
              <w:rPr>
                <w:color w:val="000000"/>
              </w:rPr>
              <w:t>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w:t>
            </w:r>
          </w:p>
        </w:tc>
        <w:tc>
          <w:tcPr>
            <w:tcW w:w="8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Chemicals and Products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and Energy Solutions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21"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27"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27"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20"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Non-controlling interest</w:t>
            </w:r>
          </w:p>
        </w:tc>
        <w:tc>
          <w:tcPr>
            <w:tcW w:w="736"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56"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56"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See Note 2 “Segment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28</w:t>
                      </w:r>
                    </w:p>
                  </w:txbxContent>
                </v:textbox>
                <w10:wrap type="none"/>
              </v:rect>
            </w:pict>
          </mc:Fallback>
        </mc:AlternateContent>
      </w:r>
    </w:p>
    <w:p>
      <w:pPr>
        <w:pStyle w:val="TextBody"/>
        <w:bidi w:val="0"/>
        <w:spacing w:lineRule="auto" w:line="288" w:before="100" w:after="120"/>
        <w:jc w:val="left"/>
        <w:rPr>
          <w:rFonts w:ascii="Times New Roman;sans-serif" w:hAnsi="Times New Roman;sans-serif"/>
          <w:b/>
          <w:color w:val="000000"/>
          <w:sz w:val="20"/>
        </w:rPr>
      </w:pPr>
      <w:r>
        <w:rPr>
          <w:rFonts w:ascii="Times New Roman;sans-serif" w:hAnsi="Times New Roman;sans-serif"/>
          <w:b/>
          <w:color w:val="000000"/>
          <w:sz w:val="20"/>
        </w:rPr>
        <w:t>Adjusted EBITDA</w:t>
      </w:r>
    </w:p>
    <w:tbl>
      <w:tblPr>
        <w:tblW w:w="10205" w:type="dxa"/>
        <w:jc w:val="left"/>
        <w:tblInd w:w="0" w:type="dxa"/>
        <w:tblLayout w:type="fixed"/>
        <w:tblCellMar>
          <w:top w:w="28" w:type="dxa"/>
          <w:left w:w="28" w:type="dxa"/>
          <w:bottom w:w="28" w:type="dxa"/>
          <w:right w:w="28" w:type="dxa"/>
        </w:tblCellMar>
      </w:tblPr>
      <w:tblGrid>
        <w:gridCol w:w="398"/>
        <w:gridCol w:w="353"/>
        <w:gridCol w:w="229"/>
        <w:gridCol w:w="367"/>
        <w:gridCol w:w="369"/>
        <w:gridCol w:w="234"/>
        <w:gridCol w:w="367"/>
        <w:gridCol w:w="369"/>
        <w:gridCol w:w="234"/>
        <w:gridCol w:w="1757"/>
        <w:gridCol w:w="1727"/>
        <w:gridCol w:w="1751"/>
        <w:gridCol w:w="368"/>
        <w:gridCol w:w="368"/>
        <w:gridCol w:w="156"/>
        <w:gridCol w:w="368"/>
        <w:gridCol w:w="368"/>
        <w:gridCol w:w="156"/>
        <w:gridCol w:w="109"/>
        <w:gridCol w:w="157"/>
      </w:tblGrid>
      <w:tr>
        <w:trPr/>
        <w:tc>
          <w:tcPr>
            <w:tcW w:w="39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178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Full year</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980"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970"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970"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523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9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7,306</w:t>
            </w:r>
            <w:r>
              <w:rPr>
                <w:color w:val="000000"/>
              </w:rPr>
              <w:t> </w:t>
            </w:r>
          </w:p>
        </w:tc>
        <w:tc>
          <w:tcPr>
            <w:tcW w:w="22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6,224</w:t>
            </w:r>
            <w:r>
              <w:rPr>
                <w:color w:val="000000"/>
              </w:rPr>
              <w:t> </w:t>
            </w:r>
          </w:p>
        </w:tc>
        <w:tc>
          <w:tcPr>
            <w:tcW w:w="2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9,814</w:t>
            </w:r>
            <w:r>
              <w:rPr>
                <w:color w:val="000000"/>
              </w:rPr>
              <w:t> </w:t>
            </w:r>
          </w:p>
        </w:tc>
        <w:tc>
          <w:tcPr>
            <w:tcW w:w="2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Earnings</w:t>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28,250</w:t>
            </w:r>
            <w:r>
              <w:rPr>
                <w:color w:val="000000"/>
              </w:rPr>
              <w:t>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39,870</w:t>
            </w:r>
            <w:r>
              <w:rPr>
                <w:color w:val="000000"/>
              </w:rPr>
              <w:t>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2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3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3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Non-controlling interest</w:t>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Taxation charge/(credit) excluding tax impact of identified items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w:t>
            </w:r>
          </w:p>
        </w:tc>
        <w:tc>
          <w:tcPr>
            <w:tcW w:w="89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Chemicals and Products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and Energy Solutions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5,986 </w:t>
            </w:r>
          </w:p>
        </w:tc>
        <w:tc>
          <w:tcPr>
            <w:tcW w:w="22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5,716 </w:t>
            </w:r>
          </w:p>
        </w:tc>
        <w:tc>
          <w:tcPr>
            <w:tcW w:w="2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5,732 </w:t>
            </w:r>
          </w:p>
        </w:tc>
        <w:tc>
          <w:tcPr>
            <w:tcW w:w="2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Depreciation, depletion and amortisation excluding impairments</w:t>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23,106 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22,393 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w:t>
            </w:r>
          </w:p>
        </w:tc>
        <w:tc>
          <w:tcPr>
            <w:tcW w:w="89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Chemicals and Products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and Energy Solutions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22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2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Exploration well write-offs</w:t>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w:t>
            </w:r>
          </w:p>
        </w:tc>
        <w:tc>
          <w:tcPr>
            <w:tcW w:w="89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22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2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2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Interest expense excluding identified items</w:t>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w:t>
            </w:r>
          </w:p>
        </w:tc>
        <w:tc>
          <w:tcPr>
            <w:tcW w:w="89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Chemicals and Products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and Energy Solutions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22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2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2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 income</w:t>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w:t>
            </w:r>
          </w:p>
        </w:tc>
        <w:tc>
          <w:tcPr>
            <w:tcW w:w="89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Chemicals and Products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and Energy Solutions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16,335</w:t>
            </w:r>
            <w:r>
              <w:rPr>
                <w:color w:val="000000"/>
              </w:rPr>
              <w:t> </w:t>
            </w:r>
          </w:p>
        </w:tc>
        <w:tc>
          <w:tcPr>
            <w:tcW w:w="22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16,336</w:t>
            </w:r>
            <w:r>
              <w:rPr>
                <w:color w:val="000000"/>
              </w:rPr>
              <w:t> </w:t>
            </w:r>
          </w:p>
        </w:tc>
        <w:tc>
          <w:tcPr>
            <w:tcW w:w="2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20,600</w:t>
            </w:r>
            <w:r>
              <w:rPr>
                <w:color w:val="000000"/>
              </w:rPr>
              <w:t> </w:t>
            </w:r>
          </w:p>
        </w:tc>
        <w:tc>
          <w:tcPr>
            <w:tcW w:w="2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68,538</w:t>
            </w:r>
            <w:r>
              <w:rPr>
                <w:color w:val="000000"/>
              </w:rPr>
              <w:t>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84,289</w:t>
            </w:r>
            <w:r>
              <w:rPr>
                <w:color w:val="000000"/>
              </w:rPr>
              <w:t>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w:t>
            </w:r>
          </w:p>
        </w:tc>
        <w:tc>
          <w:tcPr>
            <w:tcW w:w="89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Chemicals and Products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and Energy Solutions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22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w:t>
            </w:r>
          </w:p>
        </w:tc>
        <w:tc>
          <w:tcPr>
            <w:tcW w:w="2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2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cost of supplies adjustment before taxation</w:t>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w:t>
            </w:r>
          </w:p>
        </w:tc>
        <w:tc>
          <w:tcPr>
            <w:tcW w:w="89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Chemicals and Products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229"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34"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234"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ventures and associates (dividends received less profit)</w:t>
            </w:r>
          </w:p>
        </w:tc>
        <w:tc>
          <w:tcPr>
            <w:tcW w:w="736"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6"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w:t>
            </w:r>
          </w:p>
        </w:tc>
        <w:tc>
          <w:tcPr>
            <w:tcW w:w="156"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29</w:t>
                      </w:r>
                    </w:p>
                  </w:txbxContent>
                </v:textbox>
                <w10:wrap type="none"/>
              </v:rect>
            </w:pict>
          </mc:Fallback>
        </mc:AlternateContent>
      </w:r>
    </w:p>
    <w:tbl>
      <w:tblPr>
        <w:tblW w:w="7786" w:type="dxa"/>
        <w:jc w:val="left"/>
        <w:tblInd w:w="0" w:type="dxa"/>
        <w:tblLayout w:type="fixed"/>
        <w:tblCellMar>
          <w:top w:w="28" w:type="dxa"/>
          <w:left w:w="28" w:type="dxa"/>
          <w:bottom w:w="28" w:type="dxa"/>
          <w:right w:w="28" w:type="dxa"/>
        </w:tblCellMar>
      </w:tblPr>
      <w:tblGrid>
        <w:gridCol w:w="396"/>
        <w:gridCol w:w="355"/>
        <w:gridCol w:w="109"/>
        <w:gridCol w:w="394"/>
        <w:gridCol w:w="342"/>
        <w:gridCol w:w="109"/>
        <w:gridCol w:w="365"/>
        <w:gridCol w:w="371"/>
        <w:gridCol w:w="109"/>
        <w:gridCol w:w="1051"/>
        <w:gridCol w:w="1051"/>
        <w:gridCol w:w="1063"/>
        <w:gridCol w:w="395"/>
        <w:gridCol w:w="400"/>
        <w:gridCol w:w="109"/>
        <w:gridCol w:w="395"/>
        <w:gridCol w:w="400"/>
        <w:gridCol w:w="109"/>
        <w:gridCol w:w="109"/>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w:t>
            </w:r>
          </w:p>
        </w:tc>
        <w:tc>
          <w:tcPr>
            <w:tcW w:w="90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Chemicals and Products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and Energy Solutions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w:t>
            </w:r>
          </w:p>
        </w:tc>
        <w:tc>
          <w:tcPr>
            <w:tcW w:w="795"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(6,142)</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w:t>
            </w:r>
          </w:p>
        </w:tc>
        <w:tc>
          <w:tcPr>
            <w:tcW w:w="90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Chemicals and Products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and Energy Solutions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paid</w:t>
            </w:r>
          </w:p>
        </w:tc>
        <w:tc>
          <w:tcPr>
            <w:tcW w:w="795"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(13,712)</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(13,120)</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w:t>
            </w:r>
          </w:p>
        </w:tc>
        <w:tc>
          <w:tcPr>
            <w:tcW w:w="90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Chemicals and Products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and Energy Solutions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95"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w:t>
            </w:r>
          </w:p>
        </w:tc>
        <w:tc>
          <w:tcPr>
            <w:tcW w:w="90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Chemicals and Products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and Energy Solutions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10,390 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(Increase)/decrease in working capital</w:t>
            </w:r>
          </w:p>
        </w:tc>
        <w:tc>
          <w:tcPr>
            <w:tcW w:w="795"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7,838 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w:t>
            </w:r>
          </w:p>
        </w:tc>
        <w:tc>
          <w:tcPr>
            <w:tcW w:w="90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Chemicals and Products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and Energy Solutions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12,575</w:t>
            </w: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12,332</w:t>
            </w: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22,404</w:t>
            </w: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operating activities</w:t>
            </w:r>
          </w:p>
        </w:tc>
        <w:tc>
          <w:tcPr>
            <w:tcW w:w="795"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54,196</w:t>
            </w: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68,414</w:t>
            </w: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w:t>
            </w:r>
          </w:p>
        </w:tc>
        <w:tc>
          <w:tcPr>
            <w:tcW w:w="90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Chemicals and Products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and Energy Solutions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1,540 </w:t>
            </w:r>
          </w:p>
        </w:tc>
        <w:tc>
          <w:tcPr>
            <w:tcW w:w="109"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109"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1,916 </w:t>
            </w:r>
          </w:p>
        </w:tc>
        <w:tc>
          <w:tcPr>
            <w:tcW w:w="109"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95"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w:t>
            </w:r>
          </w:p>
        </w:tc>
        <w:tc>
          <w:tcPr>
            <w:tcW w:w="109"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2,192 </w:t>
            </w:r>
          </w:p>
        </w:tc>
        <w:tc>
          <w:tcPr>
            <w:tcW w:w="109"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30</w:t>
                      </w:r>
                    </w:p>
                  </w:txbxContent>
                </v:textbox>
                <w10:wrap type="none"/>
              </v:rect>
            </w:pict>
          </mc:Fallback>
        </mc:AlternateContent>
      </w:r>
    </w:p>
    <w:p>
      <w:pPr>
        <w:pStyle w:val="TextBody"/>
        <w:bidi w:val="0"/>
        <w:spacing w:lineRule="auto" w:line="288" w:before="120" w:after="120"/>
        <w:jc w:val="left"/>
        <w:rPr/>
      </w:pPr>
      <w:r>
        <w:rPr>
          <w:rFonts w:ascii="Times New Roman;sans-serif" w:hAnsi="Times New Roman;sans-serif"/>
          <w:b/>
          <w:color w:val="000000"/>
          <w:sz w:val="22"/>
        </w:rPr>
        <w:t>Identified items</w:t>
      </w:r>
      <w:r>
        <w:rPr>
          <w:color w:val="000000"/>
        </w:rPr>
        <w:t xml:space="preserv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Identified items comprise: divestment gains and losses, impairments, redundancy and restructuring, provisions for onerous contracts, fair value accounting of commodity derivatives and certain gas contracts and the impact of exchange rate movements on certain deferred tax balances, and other items. Identified items in the table below are presented on a net basis.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IDENTIFIED ITEMS</w:t>
      </w:r>
    </w:p>
    <w:tbl>
      <w:tblPr>
        <w:tblW w:w="10205" w:type="dxa"/>
        <w:jc w:val="left"/>
        <w:tblInd w:w="0" w:type="dxa"/>
        <w:tblLayout w:type="fixed"/>
        <w:tblCellMar>
          <w:top w:w="28" w:type="dxa"/>
          <w:left w:w="28" w:type="dxa"/>
          <w:bottom w:w="28" w:type="dxa"/>
          <w:right w:w="28" w:type="dxa"/>
        </w:tblCellMar>
      </w:tblPr>
      <w:tblGrid>
        <w:gridCol w:w="391"/>
        <w:gridCol w:w="305"/>
        <w:gridCol w:w="228"/>
        <w:gridCol w:w="109"/>
        <w:gridCol w:w="266"/>
        <w:gridCol w:w="266"/>
        <w:gridCol w:w="240"/>
        <w:gridCol w:w="109"/>
        <w:gridCol w:w="340"/>
        <w:gridCol w:w="342"/>
        <w:gridCol w:w="246"/>
        <w:gridCol w:w="180"/>
        <w:gridCol w:w="1857"/>
        <w:gridCol w:w="1791"/>
        <w:gridCol w:w="1796"/>
        <w:gridCol w:w="340"/>
        <w:gridCol w:w="342"/>
        <w:gridCol w:w="156"/>
        <w:gridCol w:w="340"/>
        <w:gridCol w:w="342"/>
        <w:gridCol w:w="219"/>
      </w:tblGrid>
      <w:tr>
        <w:trPr/>
        <w:tc>
          <w:tcPr>
            <w:tcW w:w="39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80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5624"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Full year</w:t>
            </w:r>
          </w:p>
        </w:tc>
        <w:tc>
          <w:tcPr>
            <w:tcW w:w="1739" w:type="dxa"/>
            <w:gridSpan w:val="6"/>
            <w:tcBorders/>
          </w:tcPr>
          <w:p>
            <w:pPr>
              <w:pStyle w:val="TableContents"/>
              <w:bidi w:val="0"/>
              <w:spacing w:before="0" w:after="283"/>
              <w:jc w:val="left"/>
              <w:rPr>
                <w:sz w:val="4"/>
                <w:szCs w:val="4"/>
              </w:rPr>
            </w:pPr>
            <w:r>
              <w:rPr>
                <w:sz w:val="4"/>
                <w:szCs w:val="4"/>
              </w:rPr>
            </w:r>
          </w:p>
        </w:tc>
      </w:tr>
      <w:tr>
        <w:trPr/>
        <w:tc>
          <w:tcPr>
            <w:tcW w:w="92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9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924"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Identified items included in Income/(loss) before taxation</w:t>
            </w:r>
          </w:p>
        </w:tc>
        <w:tc>
          <w:tcPr>
            <w:tcW w:w="838"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Divestment gains/(losses)</w:t>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reversals/(impairments)</w:t>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Redundancy and restructuring</w:t>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Provisions for onerous contracts</w:t>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accounting of commodity derivatives and certain gas contracts</w:t>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(6,792)</w:t>
            </w:r>
          </w:p>
        </w:tc>
        <w:tc>
          <w:tcPr>
            <w:tcW w:w="22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w:t>
            </w:r>
            <w:r>
              <w:rPr>
                <w:color w:val="000000"/>
              </w:rPr>
              <w:t> </w:t>
            </w:r>
          </w:p>
        </w:tc>
        <w:tc>
          <w:tcPr>
            <w:tcW w:w="2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3,796</w:t>
            </w:r>
            <w:r>
              <w:rPr>
                <w:color w:val="000000"/>
              </w:rPr>
              <w:t> </w:t>
            </w:r>
          </w:p>
        </w:tc>
        <w:tc>
          <w:tcPr>
            <w:tcW w:w="24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identified items included in Income/(loss) before taxation</w:t>
            </w:r>
          </w:p>
        </w:tc>
        <w:tc>
          <w:tcPr>
            <w:tcW w:w="68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(8,732)</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4,178</w:t>
            </w:r>
            <w:r>
              <w:rPr>
                <w:color w:val="000000"/>
              </w:rPr>
              <w:t> </w:t>
            </w:r>
          </w:p>
        </w:tc>
        <w:tc>
          <w:tcPr>
            <w:tcW w:w="21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(759)</w:t>
            </w:r>
          </w:p>
        </w:tc>
        <w:tc>
          <w:tcPr>
            <w:tcW w:w="228"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w:t>
            </w:r>
            <w:r>
              <w:rPr>
                <w:color w:val="000000"/>
              </w:rPr>
              <w:t> </w:t>
            </w:r>
          </w:p>
        </w:tc>
        <w:tc>
          <w:tcPr>
            <w:tcW w:w="240"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2,285</w:t>
            </w:r>
            <w:r>
              <w:rPr>
                <w:color w:val="000000"/>
              </w:rPr>
              <w:t> </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Less: total identified items included in Taxation charge/(credit)</w:t>
            </w:r>
          </w:p>
        </w:tc>
        <w:tc>
          <w:tcPr>
            <w:tcW w:w="682"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(481)</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2,919</w:t>
            </w:r>
            <w:r>
              <w:rPr>
                <w:color w:val="000000"/>
              </w:rPr>
              <w:t> </w:t>
            </w:r>
          </w:p>
        </w:tc>
        <w:tc>
          <w:tcPr>
            <w:tcW w:w="219"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Identified items included in income/(loss) for the period</w:t>
            </w:r>
          </w:p>
        </w:tc>
        <w:tc>
          <w:tcPr>
            <w:tcW w:w="83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Divestment gains/(losses)</w:t>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reversals/(impairments)</w:t>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Redundancy and restructuring</w:t>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Provisions for onerous contracts</w:t>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accounting of commodity derivatives and certain gas contracts</w:t>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exchange rate movements on tax balances</w:t>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(6,033)</w:t>
            </w:r>
          </w:p>
        </w:tc>
        <w:tc>
          <w:tcPr>
            <w:tcW w:w="22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(149)</w:t>
            </w:r>
          </w:p>
        </w:tc>
        <w:tc>
          <w:tcPr>
            <w:tcW w:w="2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1,512</w:t>
            </w:r>
            <w:r>
              <w:rPr>
                <w:color w:val="000000"/>
              </w:rPr>
              <w:t> </w:t>
            </w:r>
          </w:p>
        </w:tc>
        <w:tc>
          <w:tcPr>
            <w:tcW w:w="24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Impact on CCS earnings</w:t>
            </w:r>
          </w:p>
        </w:tc>
        <w:tc>
          <w:tcPr>
            <w:tcW w:w="68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(8,252)</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1,259</w:t>
            </w:r>
            <w:r>
              <w:rPr>
                <w:color w:val="000000"/>
              </w:rPr>
              <w:t> </w:t>
            </w:r>
          </w:p>
        </w:tc>
        <w:tc>
          <w:tcPr>
            <w:tcW w:w="21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which:</w:t>
            </w:r>
          </w:p>
        </w:tc>
        <w:tc>
          <w:tcPr>
            <w:tcW w:w="838"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w:t>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Chemicals and Products</w:t>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and Energy Solutions</w:t>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w:t>
            </w:r>
          </w:p>
        </w:tc>
        <w:tc>
          <w:tcPr>
            <w:tcW w:w="22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w:t>
            </w:r>
            <w:r>
              <w:rPr>
                <w:color w:val="000000"/>
              </w:rPr>
              <w:t> </w:t>
            </w:r>
          </w:p>
        </w:tc>
        <w:tc>
          <w:tcPr>
            <w:tcW w:w="24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Impact on CCS earnings attributable to non-controlling interest</w:t>
            </w:r>
          </w:p>
        </w:tc>
        <w:tc>
          <w:tcPr>
            <w:tcW w:w="68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21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(6,022)</w:t>
            </w:r>
          </w:p>
        </w:tc>
        <w:tc>
          <w:tcPr>
            <w:tcW w:w="228"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(149)</w:t>
            </w:r>
          </w:p>
        </w:tc>
        <w:tc>
          <w:tcPr>
            <w:tcW w:w="240"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1,498</w:t>
            </w:r>
            <w:r>
              <w:rPr>
                <w:color w:val="000000"/>
              </w:rPr>
              <w:t> </w:t>
            </w:r>
          </w:p>
        </w:tc>
        <w:tc>
          <w:tcPr>
            <w:tcW w:w="246"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44" w:type="dxa"/>
            <w:gridSpan w:val="3"/>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Impact on CCS earnings attributable to Shell plc shareholders</w:t>
            </w:r>
          </w:p>
        </w:tc>
        <w:tc>
          <w:tcPr>
            <w:tcW w:w="682"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(8,240)</w:t>
            </w:r>
          </w:p>
        </w:tc>
        <w:tc>
          <w:tcPr>
            <w:tcW w:w="156"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1,243</w:t>
            </w:r>
            <w:r>
              <w:rPr>
                <w:color w:val="000000"/>
              </w:rPr>
              <w:t> </w:t>
            </w:r>
          </w:p>
        </w:tc>
        <w:tc>
          <w:tcPr>
            <w:tcW w:w="219"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identified items categories above may include after-tax impacts of identified items of joint ventures and associates which are fully reported within "Share of profit/(loss) of joint ventures and associates" in the Consolidated Statement of Income, and fully reported as identified items included in Income/(loss) before taxation in the table above. Identified items related to subsidiaries are consolidated and reported across appropriate lines of the Consolidated Statement of Income. Only pre-tax identified items reported by subsidiaries are taken into account in the calculation of underlying operating expenses (Reference F). </w:t>
      </w:r>
    </w:p>
    <w:p>
      <w:pPr>
        <w:pStyle w:val="TextBody"/>
        <w:bidi w:val="0"/>
        <w:spacing w:lineRule="auto" w:line="288" w:before="0" w:after="120"/>
        <w:jc w:val="left"/>
        <w:rPr/>
      </w:pPr>
      <w:r>
        <w:rPr>
          <w:rFonts w:ascii="Times New Roman;sans-serif" w:hAnsi="Times New Roman;sans-serif"/>
          <w:b/>
          <w:color w:val="000000"/>
          <w:sz w:val="20"/>
        </w:rPr>
        <w:t xml:space="preserve">Provisions for onerous contracts: </w:t>
      </w:r>
      <w:r>
        <w:rPr>
          <w:rFonts w:ascii="Times New Roman;sans-serif" w:hAnsi="Times New Roman;sans-serif"/>
          <w:b w:val="false"/>
          <w:color w:val="000000"/>
          <w:sz w:val="20"/>
        </w:rPr>
        <w:t>Provisions for onerous contracts that relate to businesses that Shell has exited or to redundant assets or assets that cannot be used.</w:t>
      </w:r>
    </w:p>
    <w:p>
      <w:pPr>
        <w:pStyle w:val="TextBody"/>
        <w:bidi w:val="0"/>
        <w:spacing w:lineRule="auto" w:line="288" w:before="0" w:after="120"/>
        <w:jc w:val="left"/>
        <w:rPr/>
      </w:pPr>
      <w:r>
        <w:rPr>
          <w:rFonts w:ascii="Times New Roman;sans-serif" w:hAnsi="Times New Roman;sans-serif"/>
          <w:b/>
          <w:color w:val="000000"/>
          <w:sz w:val="20"/>
        </w:rPr>
        <w:t>Fair value accounting of commodity derivatives and certain gas contracts</w:t>
      </w:r>
      <w:r>
        <w:rPr>
          <w:rFonts w:ascii="Times New Roman;sans-serif" w:hAnsi="Times New Roman;sans-serif"/>
          <w:b w:val="false"/>
          <w:color w:val="000000"/>
          <w:sz w:val="20"/>
        </w:rPr>
        <w:t xml:space="preserve">: In the ordinary course of business, Shell enters into contracts to supply or purchase oil and gas products, as well as power and environmental products. Shell also enters into contracts for tolling, pipeline and storage capacity. Derivative contracts are entered into for mitigation of resulting economic exposures (generally price exposure) and these derivative contracts are carried at period-end market price (fair value), with movements in fair value recognised in income for the period. Supply and purchase contracts entered into for operational purposes, as well as contracts for tolling, pipeline and storage capacity, are, by contrast, recognised when the transaction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31</w:t>
                      </w:r>
                    </w:p>
                  </w:txbxContent>
                </v:textbox>
                <w10:wrap type="none"/>
              </v:rect>
            </w:pict>
          </mc:Fallback>
        </mc:AlternateConten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occurs; furthermore, inventory is carried at historical cost or net realisable value, whichever is lower. As a consequence, accounting mismatches occur because: (a) the supply or purchase transaction is recognised in a different period, or (b) the inventory is measured on a different basis. In addition, certain contracts are, due to pricing or delivery conditions, deemed to contain embedded derivatives or written options and are also required to be carried at fair value even though they are entered into for operational purposes. The accounting impacts are reported as identified items. </w:t>
      </w:r>
    </w:p>
    <w:p>
      <w:pPr>
        <w:pStyle w:val="TextBody"/>
        <w:bidi w:val="0"/>
        <w:spacing w:lineRule="auto" w:line="288" w:before="0" w:after="120"/>
        <w:jc w:val="left"/>
        <w:rPr/>
      </w:pPr>
      <w:r>
        <w:rPr>
          <w:rFonts w:ascii="Times New Roman;sans-serif" w:hAnsi="Times New Roman;sans-serif"/>
          <w:b/>
          <w:color w:val="000000"/>
          <w:sz w:val="20"/>
        </w:rPr>
        <w:t>Impacts of exchange rate movements on tax balances</w:t>
      </w:r>
      <w:r>
        <w:rPr>
          <w:color w:val="000000"/>
        </w:rPr>
        <w:t xml:space="preserve"> </w:t>
      </w:r>
      <w:r>
        <w:rPr>
          <w:rFonts w:ascii="Times New Roman;sans-serif" w:hAnsi="Times New Roman;sans-serif"/>
          <w:b w:val="false"/>
          <w:color w:val="000000"/>
          <w:sz w:val="20"/>
        </w:rPr>
        <w:t xml:space="preserve">represent the impact on tax balances of exchange rate movements arising on (a) the conversion to dollars of the local currency tax base of non-monetary assets and liabilities, as well as losses (this primarily impacts the Upstream and Integrated Gas segments) and (b) the conversion of dollar-denominated inter-segment loans to local currency, leading to taxable exchange rate gains or losses (this primarily impacts the Corporate segment). </w:t>
      </w:r>
    </w:p>
    <w:p>
      <w:pPr>
        <w:pStyle w:val="TextBody"/>
        <w:bidi w:val="0"/>
        <w:spacing w:lineRule="auto" w:line="288" w:before="0" w:after="120"/>
        <w:jc w:val="left"/>
        <w:rPr/>
      </w:pPr>
      <w:r>
        <w:rPr>
          <w:rFonts w:ascii="Times New Roman;sans-serif" w:hAnsi="Times New Roman;sans-serif"/>
          <w:b/>
          <w:color w:val="000000"/>
          <w:sz w:val="20"/>
        </w:rPr>
        <w:t>Other identified items</w:t>
      </w:r>
      <w:r>
        <w:rPr>
          <w:color w:val="000000"/>
        </w:rPr>
        <w:t xml:space="preserve"> </w:t>
      </w:r>
      <w:r>
        <w:rPr>
          <w:rFonts w:ascii="Times New Roman;sans-serif" w:hAnsi="Times New Roman;sans-serif"/>
          <w:b w:val="false"/>
          <w:color w:val="000000"/>
          <w:sz w:val="20"/>
        </w:rPr>
        <w:t>represent other credits or charges that based on Shell management's assessment hinder the comparative understanding of Shell's financial results from period to period.</w:t>
      </w:r>
    </w:p>
    <w:p>
      <w:pPr>
        <w:pStyle w:val="TextBody"/>
        <w:bidi w:val="0"/>
        <w:spacing w:lineRule="auto" w:line="288" w:before="0" w:after="120"/>
        <w:ind w:left="0" w:right="0" w:hanging="540"/>
        <w:jc w:val="left"/>
        <w:rPr/>
      </w:pPr>
      <w:r>
        <w:rPr>
          <w:rFonts w:ascii="Times New Roman;sans-serif" w:hAnsi="Times New Roman;sans-serif"/>
          <w:b/>
          <w:color w:val="000000"/>
          <w:sz w:val="22"/>
        </w:rPr>
        <w:t>B.</w:t>
      </w:r>
      <w:r>
        <w:rPr>
          <w:color w:val="000000"/>
        </w:rPr>
        <w:t>    </w:t>
      </w:r>
      <w:r>
        <w:rPr>
          <w:rFonts w:ascii="Times New Roman;sans-serif" w:hAnsi="Times New Roman;sans-serif"/>
          <w:b/>
          <w:color w:val="000000"/>
          <w:sz w:val="22"/>
        </w:rPr>
        <w:t xml:space="preserve">Adjusted Earnings per share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Earnings per share is calculated as Adjusted Earnings (see Reference A), divided by the weighted average number of shares used as the basis for basic earnings per share (see Note 4). </w:t>
      </w:r>
    </w:p>
    <w:p>
      <w:pPr>
        <w:pStyle w:val="TextBody"/>
        <w:bidi w:val="0"/>
        <w:spacing w:lineRule="auto" w:line="288" w:before="0" w:after="120"/>
        <w:ind w:left="0" w:right="0" w:hanging="540"/>
        <w:jc w:val="left"/>
        <w:rPr/>
      </w:pPr>
      <w:r>
        <w:rPr>
          <w:rFonts w:ascii="Times New Roman;sans-serif" w:hAnsi="Times New Roman;sans-serif"/>
          <w:b/>
          <w:color w:val="000000"/>
          <w:sz w:val="22"/>
        </w:rPr>
        <w:t>C.</w:t>
      </w:r>
      <w:r>
        <w:rPr>
          <w:color w:val="000000"/>
        </w:rPr>
        <w:t>    </w:t>
      </w:r>
      <w:r>
        <w:rPr>
          <w:rFonts w:ascii="Times New Roman;sans-serif" w:hAnsi="Times New Roman;sans-serif"/>
          <w:b/>
          <w:color w:val="000000"/>
          <w:sz w:val="22"/>
        </w:rPr>
        <w:t xml:space="preserve">Cash capital expenditure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Cash capital expenditure represents cash spent on maintaining and developing assets as well as on investments in the period. Management regularly monitors this measure as a key lever to delivering sustainable cash flows. Cash capital expenditure is the sum of the following lines from the Consolidated Statement of Cash Flows: Capital expenditure, Investments in joint ventures and associates and Investments in equity securities.</w:t>
      </w:r>
    </w:p>
    <w:p>
      <w:pPr>
        <w:pStyle w:val="TextBody"/>
        <w:bidi w:val="0"/>
        <w:spacing w:lineRule="auto" w:line="288" w:before="120" w:after="12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See Note 2 “Segment information” for the reconciliation of cash capital expenditure.</w:t>
      </w:r>
    </w:p>
    <w:p>
      <w:pPr>
        <w:pStyle w:val="TextBody"/>
        <w:bidi w:val="0"/>
        <w:spacing w:lineRule="auto" w:line="288" w:before="120" w:after="120"/>
        <w:ind w:left="0" w:right="0" w:hanging="540"/>
        <w:jc w:val="left"/>
        <w:rPr/>
      </w:pPr>
      <w:r>
        <w:rPr>
          <w:rFonts w:ascii="Times New Roman;sans-serif" w:hAnsi="Times New Roman;sans-serif"/>
          <w:b/>
          <w:color w:val="000000"/>
          <w:sz w:val="22"/>
        </w:rPr>
        <w:t>D.</w:t>
      </w:r>
      <w:r>
        <w:rPr>
          <w:color w:val="000000"/>
        </w:rPr>
        <w:t>    </w:t>
      </w:r>
      <w:r>
        <w:rPr>
          <w:rFonts w:ascii="Times New Roman;sans-serif" w:hAnsi="Times New Roman;sans-serif"/>
          <w:b/>
          <w:color w:val="000000"/>
          <w:sz w:val="22"/>
        </w:rPr>
        <w:t xml:space="preserve">Return on average capital employed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Return on average capital employed ("ROACE") measures the efficiency of Shell’s utilisation of the capital that it employs. Shell uses two ROACE measures: ROACE on a Net income basis and ROACE on an Adjusted Earnings plus Non-controlling interest (NCI) basis, both adjusted for after-tax interest expense.</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Both measures refer to Capital employed which consists of total equity, current debt and non-current debt. </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ROACE on a Net income basis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this calculation, the sum of income for the current and previous three quarters, adjusted for after-tax interest expense, is expressed as a percentage of the average capital employed for the same period. </w:t>
      </w:r>
    </w:p>
    <w:tbl>
      <w:tblPr>
        <w:tblW w:w="9632" w:type="dxa"/>
        <w:jc w:val="center"/>
        <w:tblInd w:w="0" w:type="dxa"/>
        <w:tblLayout w:type="fixed"/>
        <w:tblCellMar>
          <w:top w:w="28" w:type="dxa"/>
          <w:left w:w="28" w:type="dxa"/>
          <w:bottom w:w="28" w:type="dxa"/>
          <w:right w:w="28" w:type="dxa"/>
        </w:tblCellMar>
      </w:tblPr>
      <w:tblGrid>
        <w:gridCol w:w="2129"/>
        <w:gridCol w:w="1864"/>
        <w:gridCol w:w="1887"/>
        <w:gridCol w:w="109"/>
        <w:gridCol w:w="109"/>
        <w:gridCol w:w="109"/>
        <w:gridCol w:w="281"/>
        <w:gridCol w:w="281"/>
        <w:gridCol w:w="246"/>
        <w:gridCol w:w="109"/>
        <w:gridCol w:w="109"/>
        <w:gridCol w:w="109"/>
        <w:gridCol w:w="263"/>
        <w:gridCol w:w="263"/>
        <w:gridCol w:w="427"/>
        <w:gridCol w:w="109"/>
        <w:gridCol w:w="109"/>
        <w:gridCol w:w="109"/>
        <w:gridCol w:w="263"/>
        <w:gridCol w:w="263"/>
        <w:gridCol w:w="484"/>
      </w:tblGrid>
      <w:tr>
        <w:trPr/>
        <w:tc>
          <w:tcPr>
            <w:tcW w:w="2129"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r>
      <w:tr>
        <w:trPr/>
        <w:tc>
          <w:tcPr>
            <w:tcW w:w="588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r>
      <w:tr>
        <w:trPr/>
        <w:tc>
          <w:tcPr>
            <w:tcW w:w="5880"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 current and previous three quarters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42,874</w:t>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after tax - current and previous three 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w:t>
            </w:r>
          </w:p>
        </w:tc>
      </w:tr>
      <w:tr>
        <w:trPr/>
        <w:tc>
          <w:tcPr>
            <w:tcW w:w="5880"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interest expense - current and previous three quarters</w:t>
            </w:r>
          </w:p>
        </w:tc>
        <w:tc>
          <w:tcPr>
            <w:tcW w:w="327"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22,909</w:t>
            </w:r>
          </w:p>
        </w:tc>
        <w:tc>
          <w:tcPr>
            <w:tcW w:w="327"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32,775</w:t>
            </w:r>
          </w:p>
        </w:tc>
        <w:tc>
          <w:tcPr>
            <w:tcW w:w="327"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45,164</w:t>
            </w:r>
          </w:p>
        </w:tc>
      </w:tr>
      <w:tr>
        <w:trPr/>
        <w:tc>
          <w:tcPr>
            <w:tcW w:w="58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employed – opening</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276,392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272,227</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264,413</w:t>
            </w:r>
          </w:p>
        </w:tc>
      </w:tr>
      <w:tr>
        <w:trPr/>
        <w:tc>
          <w:tcPr>
            <w:tcW w:w="58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employed – closing</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269,902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275,090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276,392</w:t>
            </w:r>
          </w:p>
        </w:tc>
      </w:tr>
      <w:tr>
        <w:trPr/>
        <w:tc>
          <w:tcPr>
            <w:tcW w:w="58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employed – average</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273,147</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273,659</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270,402</w:t>
            </w:r>
          </w:p>
        </w:tc>
      </w:tr>
      <w:tr>
        <w:trPr/>
        <w:tc>
          <w:tcPr>
            <w:tcW w:w="5880" w:type="dxa"/>
            <w:gridSpan w:val="3"/>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ROACE on a Net income basis</w:t>
            </w:r>
          </w:p>
        </w:tc>
        <w:tc>
          <w:tcPr>
            <w:tcW w:w="327" w:type="dxa"/>
            <w:gridSpan w:val="3"/>
            <w:tcBorders>
              <w:top w:val="single" w:sz="2" w:space="0" w:color="000000"/>
              <w:bottom w:val="single" w:sz="2"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8.4%</w:t>
            </w:r>
          </w:p>
        </w:tc>
        <w:tc>
          <w:tcPr>
            <w:tcW w:w="327" w:type="dxa"/>
            <w:gridSpan w:val="3"/>
            <w:tcBorders>
              <w:top w:val="single" w:sz="2" w:space="0" w:color="000000"/>
              <w:bottom w:val="single" w:sz="2"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w:t>
            </w:r>
            <w:r>
              <w:rPr>
                <w:color w:val="000000"/>
              </w:rPr>
              <w:t> </w:t>
            </w:r>
          </w:p>
        </w:tc>
        <w:tc>
          <w:tcPr>
            <w:tcW w:w="427"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2" w:space="0" w:color="000000"/>
              <w:bottom w:val="single" w:sz="2"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w:t>
            </w:r>
            <w:r>
              <w:rPr>
                <w:color w:val="000000"/>
              </w:rPr>
              <w:t> </w:t>
            </w:r>
          </w:p>
        </w:tc>
        <w:tc>
          <w:tcPr>
            <w:tcW w:w="484"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ROACE on an Adjusted Earnings plus Non-controlling interest (NCI) basis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this calculation, the sum of Adjusted Earnings (see Reference A) plus non-controlling interest (NCI) excluding identified items for the current and previous three quarters, adjusted for after-tax interest expense, is expressed as a percentage of the average capital employed for the same period.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32</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291"/>
        <w:gridCol w:w="1995"/>
        <w:gridCol w:w="2021"/>
        <w:gridCol w:w="109"/>
        <w:gridCol w:w="109"/>
        <w:gridCol w:w="109"/>
        <w:gridCol w:w="263"/>
        <w:gridCol w:w="263"/>
        <w:gridCol w:w="427"/>
        <w:gridCol w:w="109"/>
        <w:gridCol w:w="109"/>
        <w:gridCol w:w="109"/>
        <w:gridCol w:w="263"/>
        <w:gridCol w:w="263"/>
        <w:gridCol w:w="427"/>
        <w:gridCol w:w="109"/>
        <w:gridCol w:w="109"/>
        <w:gridCol w:w="109"/>
        <w:gridCol w:w="263"/>
        <w:gridCol w:w="263"/>
        <w:gridCol w:w="485"/>
      </w:tblGrid>
      <w:tr>
        <w:trPr/>
        <w:tc>
          <w:tcPr>
            <w:tcW w:w="2291"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6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r>
      <w:tr>
        <w:trPr/>
        <w:tc>
          <w:tcPr>
            <w:tcW w:w="630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r>
      <w:tr>
        <w:trPr/>
        <w:tc>
          <w:tcPr>
            <w:tcW w:w="6307"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Earnings - current and previous three quarters (Reference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30,758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39,870</w:t>
            </w:r>
          </w:p>
        </w:tc>
      </w:tr>
      <w:tr>
        <w:trPr/>
        <w:tc>
          <w:tcPr>
            <w:tcW w:w="630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Income/(loss) attributable to NCI - current and previous three quarters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w:t>
            </w:r>
          </w:p>
        </w:tc>
      </w:tr>
      <w:tr>
        <w:trPr/>
        <w:tc>
          <w:tcPr>
            <w:tcW w:w="6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Current cost of supplies adjustment attributable to NCI - current and previous three quarters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r>
      <w:tr>
        <w:trPr/>
        <w:tc>
          <w:tcPr>
            <w:tcW w:w="6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Identified items attributable to NCI (Reference A) - current and previous three quarters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6307"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Earnings plus NCI excluding identified items - current and previous three quarters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40,304</w:t>
            </w:r>
          </w:p>
        </w:tc>
      </w:tr>
      <w:tr>
        <w:trPr/>
        <w:tc>
          <w:tcPr>
            <w:tcW w:w="630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Interest expense after tax - current and previous three quarters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w:t>
            </w:r>
          </w:p>
        </w:tc>
      </w:tr>
      <w:tr>
        <w:trPr/>
        <w:tc>
          <w:tcPr>
            <w:tcW w:w="6307"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Earnings plus NCI excluding identified items before interest expense - current and previous three quarters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31,805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42,593</w:t>
            </w:r>
          </w:p>
        </w:tc>
      </w:tr>
      <w:tr>
        <w:trPr/>
        <w:tc>
          <w:tcPr>
            <w:tcW w:w="630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employed -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273,147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273,659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270,402</w:t>
            </w:r>
          </w:p>
        </w:tc>
      </w:tr>
      <w:tr>
        <w:trPr/>
        <w:tc>
          <w:tcPr>
            <w:tcW w:w="6307" w:type="dxa"/>
            <w:gridSpan w:val="3"/>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ROACE on an Adjusted Earnings plus NCI basis</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11.6</w:t>
            </w:r>
            <w:r>
              <w:rPr>
                <w:color w:val="000000"/>
              </w:rPr>
              <w:t> </w:t>
            </w:r>
          </w:p>
        </w:tc>
        <w:tc>
          <w:tcPr>
            <w:tcW w:w="427"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w:t>
            </w:r>
            <w:r>
              <w:rPr>
                <w:color w:val="000000"/>
              </w:rPr>
              <w:t> </w:t>
            </w:r>
          </w:p>
        </w:tc>
        <w:tc>
          <w:tcPr>
            <w:tcW w:w="427"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15.8</w:t>
            </w:r>
            <w:r>
              <w:rPr>
                <w:color w:val="000000"/>
              </w:rPr>
              <w:t> </w:t>
            </w:r>
          </w:p>
        </w:tc>
        <w:tc>
          <w:tcPr>
            <w:tcW w:w="485"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88" w:before="0" w:after="120"/>
        <w:ind w:left="0" w:right="0" w:hanging="540"/>
        <w:jc w:val="left"/>
        <w:rPr/>
      </w:pPr>
      <w:r>
        <w:rPr>
          <w:rFonts w:ascii="Times New Roman;sans-serif" w:hAnsi="Times New Roman;sans-serif"/>
          <w:b/>
          <w:color w:val="000000"/>
          <w:sz w:val="22"/>
        </w:rPr>
        <w:t>E.</w:t>
      </w:r>
      <w:r>
        <w:rPr>
          <w:color w:val="000000"/>
        </w:rPr>
        <w:t>    </w:t>
      </w:r>
      <w:r>
        <w:rPr>
          <w:rFonts w:ascii="Times New Roman;sans-serif" w:hAnsi="Times New Roman;sans-serif"/>
          <w:b/>
          <w:color w:val="000000"/>
          <w:sz w:val="22"/>
        </w:rPr>
        <w:t>Gearing and Net debt</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Gearing is a measure of Shell’s capital structure and is defined as net debt as a percentage of total capital. Net debt is defined as the sum of current and non-current debt, less cash and cash equivalents, adjusted for the fair value of derivative financial instruments used to hedge foreign exchange and interest rate risks relating to debt, and associated collateral balances. Management considers this adjustment useful because it reduces the volatility of net debt caused by fluctuations in foreign exchange and interest rates, and eliminates the potential impact of related collateral payments or receipts. Debt-related derivative financial instruments are a subset of the derivative financial instrument assets and liabilities presented on the balance sheet. Collateral balances are reported under “Trade and other receivables” or “Trade and other payables” as appropriate. </w:t>
      </w:r>
    </w:p>
    <w:tbl>
      <w:tblPr>
        <w:tblW w:w="10205" w:type="dxa"/>
        <w:jc w:val="center"/>
        <w:tblInd w:w="0" w:type="dxa"/>
        <w:tblLayout w:type="fixed"/>
        <w:tblCellMar>
          <w:top w:w="28" w:type="dxa"/>
          <w:left w:w="28" w:type="dxa"/>
          <w:bottom w:w="28" w:type="dxa"/>
          <w:right w:w="28" w:type="dxa"/>
        </w:tblCellMar>
      </w:tblPr>
      <w:tblGrid>
        <w:gridCol w:w="1588"/>
        <w:gridCol w:w="1388"/>
        <w:gridCol w:w="1379"/>
        <w:gridCol w:w="109"/>
        <w:gridCol w:w="109"/>
        <w:gridCol w:w="109"/>
        <w:gridCol w:w="426"/>
        <w:gridCol w:w="415"/>
        <w:gridCol w:w="748"/>
        <w:gridCol w:w="109"/>
        <w:gridCol w:w="109"/>
        <w:gridCol w:w="109"/>
        <w:gridCol w:w="418"/>
        <w:gridCol w:w="423"/>
        <w:gridCol w:w="775"/>
        <w:gridCol w:w="109"/>
        <w:gridCol w:w="109"/>
        <w:gridCol w:w="109"/>
        <w:gridCol w:w="418"/>
        <w:gridCol w:w="423"/>
        <w:gridCol w:w="823"/>
      </w:tblGrid>
      <w:tr>
        <w:trPr/>
        <w:tc>
          <w:tcPr>
            <w:tcW w:w="158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r>
      <w:tr>
        <w:trPr/>
        <w:tc>
          <w:tcPr>
            <w:tcW w:w="4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3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9,931 </w:t>
            </w:r>
          </w:p>
        </w:tc>
        <w:tc>
          <w:tcPr>
            <w:tcW w:w="7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10,119 </w:t>
            </w:r>
          </w:p>
        </w:tc>
        <w:tc>
          <w:tcPr>
            <w:tcW w:w="7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9,001 </w:t>
            </w:r>
          </w:p>
        </w:tc>
        <w:tc>
          <w:tcPr>
            <w:tcW w:w="8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71,610 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72,028 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74,794 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81,541</w:t>
            </w:r>
            <w:r>
              <w:rPr>
                <w:color w:val="000000"/>
              </w:rPr>
              <w:t> </w:t>
            </w:r>
          </w:p>
        </w:tc>
        <w:tc>
          <w:tcPr>
            <w:tcW w:w="748"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82,147</w:t>
            </w:r>
            <w:r>
              <w:rPr>
                <w:color w:val="000000"/>
              </w:rPr>
              <w:t> </w:t>
            </w:r>
          </w:p>
        </w:tc>
        <w:tc>
          <w:tcPr>
            <w:tcW w:w="775"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83,795</w:t>
            </w:r>
            <w:r>
              <w:rPr>
                <w:color w:val="000000"/>
              </w:rPr>
              <w:t> </w:t>
            </w:r>
          </w:p>
        </w:tc>
        <w:tc>
          <w:tcPr>
            <w:tcW w:w="82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27,709 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27,854 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27,643 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Debt-related derivative financial instruments: net liability/(asset)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1,835 </w:t>
            </w:r>
          </w:p>
        </w:tc>
        <w:tc>
          <w:tcPr>
            <w:tcW w:w="748"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3,116 </w:t>
            </w:r>
          </w:p>
        </w:tc>
        <w:tc>
          <w:tcPr>
            <w:tcW w:w="775"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3,071 </w:t>
            </w:r>
          </w:p>
        </w:tc>
        <w:tc>
          <w:tcPr>
            <w:tcW w:w="82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Collateral on debt-related derivatives: net liability/(asset)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(38,774)</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(43,031)</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(40,246)</w:t>
            </w:r>
          </w:p>
        </w:tc>
        <w:tc>
          <w:tcPr>
            <w:tcW w:w="8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43,541</w:t>
            </w:r>
            <w:r>
              <w:rPr>
                <w:color w:val="000000"/>
              </w:rPr>
              <w:t> </w:t>
            </w:r>
          </w:p>
        </w:tc>
        <w:tc>
          <w:tcPr>
            <w:tcW w:w="74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40,470</w:t>
            </w:r>
            <w:r>
              <w:rPr>
                <w:color w:val="000000"/>
              </w:rPr>
              <w:t> </w:t>
            </w:r>
          </w:p>
        </w:tc>
        <w:tc>
          <w:tcPr>
            <w:tcW w:w="77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44,837</w:t>
            </w:r>
            <w:r>
              <w:rPr>
                <w:color w:val="000000"/>
              </w:rPr>
              <w:t> </w:t>
            </w:r>
          </w:p>
        </w:tc>
        <w:tc>
          <w:tcPr>
            <w:tcW w:w="82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188,361 </w:t>
            </w:r>
          </w:p>
        </w:tc>
        <w:tc>
          <w:tcPr>
            <w:tcW w:w="748"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192,943 </w:t>
            </w:r>
          </w:p>
        </w:tc>
        <w:tc>
          <w:tcPr>
            <w:tcW w:w="775"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192,597 </w:t>
            </w:r>
          </w:p>
        </w:tc>
        <w:tc>
          <w:tcPr>
            <w:tcW w:w="82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231,902</w:t>
            </w:r>
            <w:r>
              <w:rPr>
                <w:color w:val="000000"/>
              </w:rPr>
              <w:t> </w:t>
            </w:r>
          </w:p>
        </w:tc>
        <w:tc>
          <w:tcPr>
            <w:tcW w:w="74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233,414</w:t>
            </w:r>
            <w:r>
              <w:rPr>
                <w:color w:val="000000"/>
              </w:rPr>
              <w:t> </w:t>
            </w:r>
          </w:p>
        </w:tc>
        <w:tc>
          <w:tcPr>
            <w:tcW w:w="77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237,434</w:t>
            </w:r>
            <w:r>
              <w:rPr>
                <w:color w:val="000000"/>
              </w:rPr>
              <w:t> </w:t>
            </w:r>
          </w:p>
        </w:tc>
        <w:tc>
          <w:tcPr>
            <w:tcW w:w="82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Gearing</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18.8</w:t>
            </w:r>
            <w:r>
              <w:rPr>
                <w:color w:val="000000"/>
              </w:rPr>
              <w:t> </w:t>
            </w:r>
          </w:p>
        </w:tc>
        <w:tc>
          <w:tcPr>
            <w:tcW w:w="748"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w:t>
            </w:r>
            <w:r>
              <w:rPr>
                <w:color w:val="000000"/>
              </w:rPr>
              <w:t> </w:t>
            </w:r>
          </w:p>
        </w:tc>
        <w:tc>
          <w:tcPr>
            <w:tcW w:w="775"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18.9</w:t>
            </w:r>
            <w:r>
              <w:rPr>
                <w:color w:val="000000"/>
              </w:rPr>
              <w:t> </w:t>
            </w:r>
          </w:p>
        </w:tc>
        <w:tc>
          <w:tcPr>
            <w:tcW w:w="823"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88" w:before="120" w:after="120"/>
        <w:ind w:left="0" w:right="0" w:hanging="540"/>
        <w:jc w:val="left"/>
        <w:rPr/>
      </w:pPr>
      <w:r>
        <w:rPr>
          <w:rFonts w:ascii="Times New Roman;sans-serif" w:hAnsi="Times New Roman;sans-serif"/>
          <w:b/>
          <w:color w:val="000000"/>
          <w:sz w:val="22"/>
        </w:rPr>
        <w:t>F.</w:t>
      </w:r>
      <w:r>
        <w:rPr>
          <w:color w:val="000000"/>
        </w:rPr>
        <w:t>    </w:t>
      </w:r>
      <w:r>
        <w:rPr>
          <w:rFonts w:ascii="Times New Roman;sans-serif" w:hAnsi="Times New Roman;sans-serif"/>
          <w:b/>
          <w:color w:val="000000"/>
          <w:sz w:val="22"/>
        </w:rPr>
        <w:t xml:space="preserve">Operating expenses and Underlying operating expenses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is a measure of Shell’s cost management performance, comprising the following items from the Consolidated Statement of Income: production and manufacturing expenses; selling, distribution and administrative expenses; and research and development expenses.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Underlying operating expenses is a measure aimed at facilitating a comparative understanding of performance from period to period by removing the effects of identified items, which, either individually or collectively, can cause volatility, in some cases driven by external factors.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33</w:t>
                      </w:r>
                    </w:p>
                  </w:txbxContent>
                </v:textbox>
                <w10:wrap type="none"/>
              </v:rect>
            </w:pict>
          </mc:Fallback>
        </mc:AlternateContent>
      </w:r>
    </w:p>
    <w:tbl>
      <w:tblPr>
        <w:tblW w:w="9190" w:type="dxa"/>
        <w:jc w:val="center"/>
        <w:tblInd w:w="0" w:type="dxa"/>
        <w:tblLayout w:type="fixed"/>
        <w:tblCellMar>
          <w:top w:w="28" w:type="dxa"/>
          <w:left w:w="28" w:type="dxa"/>
          <w:bottom w:w="28" w:type="dxa"/>
          <w:right w:w="28" w:type="dxa"/>
        </w:tblCellMar>
      </w:tblPr>
      <w:tblGrid>
        <w:gridCol w:w="398"/>
        <w:gridCol w:w="353"/>
        <w:gridCol w:w="240"/>
        <w:gridCol w:w="368"/>
        <w:gridCol w:w="368"/>
        <w:gridCol w:w="246"/>
        <w:gridCol w:w="368"/>
        <w:gridCol w:w="368"/>
        <w:gridCol w:w="246"/>
        <w:gridCol w:w="109"/>
        <w:gridCol w:w="1355"/>
        <w:gridCol w:w="1355"/>
        <w:gridCol w:w="1369"/>
        <w:gridCol w:w="367"/>
        <w:gridCol w:w="369"/>
        <w:gridCol w:w="156"/>
        <w:gridCol w:w="367"/>
        <w:gridCol w:w="369"/>
        <w:gridCol w:w="156"/>
        <w:gridCol w:w="109"/>
        <w:gridCol w:w="154"/>
      </w:tblGrid>
      <w:tr>
        <w:trPr/>
        <w:tc>
          <w:tcPr>
            <w:tcW w:w="39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17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Full year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99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98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98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6,807 </w:t>
            </w:r>
          </w:p>
        </w:tc>
        <w:tc>
          <w:tcPr>
            <w:tcW w:w="240"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6,384 </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7,220 </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manufacturing expenses</w:t>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25,240 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25,518 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4" w:space="0" w:color="92929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92929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92929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top w:val="single" w:sz="4" w:space="0" w:color="92929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w:t>
            </w:r>
          </w:p>
        </w:tc>
        <w:tc>
          <w:tcPr>
            <w:tcW w:w="892" w:type="dxa"/>
            <w:gridSpan w:val="3"/>
            <w:tcBorders>
              <w:top w:val="single" w:sz="4" w:space="0" w:color="92929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92929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Chemicals &amp; Products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&amp; Energy Solutions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3,621 </w:t>
            </w:r>
          </w:p>
        </w:tc>
        <w:tc>
          <w:tcPr>
            <w:tcW w:w="2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3,447 </w:t>
            </w:r>
          </w:p>
        </w:tc>
        <w:tc>
          <w:tcPr>
            <w:tcW w:w="24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3,491 </w:t>
            </w:r>
          </w:p>
        </w:tc>
        <w:tc>
          <w:tcPr>
            <w:tcW w:w="24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distribution and administrative expenses</w:t>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13,433 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12,883 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w:t>
            </w:r>
          </w:p>
        </w:tc>
        <w:tc>
          <w:tcPr>
            <w:tcW w:w="89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Chemicals &amp; Products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&amp; Energy Solutions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240"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w:t>
            </w:r>
          </w:p>
        </w:tc>
        <w:tc>
          <w:tcPr>
            <w:tcW w:w="89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Gas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Upstream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Chemicals &amp; Products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&amp; Energy Solutions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10,897</w:t>
            </w:r>
            <w:r>
              <w:rPr>
                <w:color w:val="000000"/>
              </w:rPr>
              <w:t> </w:t>
            </w:r>
          </w:p>
        </w:tc>
        <w:tc>
          <w:tcPr>
            <w:tcW w:w="2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10,097</w:t>
            </w:r>
            <w:r>
              <w:rPr>
                <w:color w:val="000000"/>
              </w:rPr>
              <w:t> </w:t>
            </w:r>
          </w:p>
        </w:tc>
        <w:tc>
          <w:tcPr>
            <w:tcW w:w="24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11,114</w:t>
            </w:r>
            <w:r>
              <w:rPr>
                <w:color w:val="000000"/>
              </w:rPr>
              <w:t> </w:t>
            </w:r>
          </w:p>
        </w:tc>
        <w:tc>
          <w:tcPr>
            <w:tcW w:w="24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39,959</w:t>
            </w:r>
            <w:r>
              <w:rPr>
                <w:color w:val="000000"/>
              </w:rPr>
              <w:t>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39,477</w:t>
            </w:r>
            <w:r>
              <w:rPr>
                <w:color w:val="000000"/>
              </w:rPr>
              <w:t>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 identified items:</w:t>
            </w:r>
          </w:p>
        </w:tc>
        <w:tc>
          <w:tcPr>
            <w:tcW w:w="89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Redundancy and restructuring (charges)/reversal</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(Provisions)/reversal</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(332)</w:t>
            </w:r>
          </w:p>
        </w:tc>
        <w:tc>
          <w:tcPr>
            <w:tcW w:w="2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(362)</w:t>
            </w:r>
          </w:p>
        </w:tc>
        <w:tc>
          <w:tcPr>
            <w:tcW w:w="24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(77)</w:t>
            </w:r>
          </w:p>
        </w:tc>
        <w:tc>
          <w:tcPr>
            <w:tcW w:w="24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identified items</w:t>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(758)</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10,565</w:t>
            </w:r>
            <w:r>
              <w:rPr>
                <w:color w:val="000000"/>
              </w:rPr>
              <w:t> </w:t>
            </w:r>
          </w:p>
        </w:tc>
        <w:tc>
          <w:tcPr>
            <w:tcW w:w="240"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9,735</w:t>
            </w:r>
            <w:r>
              <w:rPr>
                <w:color w:val="000000"/>
              </w:rPr>
              <w:t> </w:t>
            </w:r>
          </w:p>
        </w:tc>
        <w:tc>
          <w:tcPr>
            <w:tcW w:w="246"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11,037</w:t>
            </w:r>
            <w:r>
              <w:rPr>
                <w:color w:val="000000"/>
              </w:rPr>
              <w:t> </w:t>
            </w:r>
          </w:p>
        </w:tc>
        <w:tc>
          <w:tcPr>
            <w:tcW w:w="246"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9" w:type="dxa"/>
            <w:gridSpan w:val="3"/>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Underlying operating expenses</w:t>
            </w:r>
          </w:p>
        </w:tc>
        <w:tc>
          <w:tcPr>
            <w:tcW w:w="736"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39,201</w:t>
            </w:r>
            <w:r>
              <w:rPr>
                <w:color w:val="000000"/>
              </w:rPr>
              <w:t> </w:t>
            </w:r>
          </w:p>
        </w:tc>
        <w:tc>
          <w:tcPr>
            <w:tcW w:w="156"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39,456</w:t>
            </w:r>
            <w:r>
              <w:rPr>
                <w:color w:val="000000"/>
              </w:rPr>
              <w:t> </w:t>
            </w:r>
          </w:p>
        </w:tc>
        <w:tc>
          <w:tcPr>
            <w:tcW w:w="156"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540"/>
        <w:jc w:val="left"/>
        <w:rPr/>
      </w:pPr>
      <w:r>
        <w:rPr>
          <w:rFonts w:ascii="Times New Roman;sans-serif" w:hAnsi="Times New Roman;sans-serif"/>
          <w:b/>
          <w:color w:val="000000"/>
          <w:sz w:val="22"/>
        </w:rPr>
        <w:t>G.</w:t>
      </w:r>
      <w:r>
        <w:rPr>
          <w:color w:val="000000"/>
        </w:rPr>
        <w:t>    </w:t>
      </w:r>
      <w:r>
        <w:rPr>
          <w:rFonts w:ascii="Times New Roman;sans-serif" w:hAnsi="Times New Roman;sans-serif"/>
          <w:b/>
          <w:color w:val="000000"/>
          <w:sz w:val="22"/>
        </w:rPr>
        <w:t>Free cash flow and Organic free cash flow</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Free cash flow is used to evaluate cash available for financing activities, including dividend payments and debt servicing, after investment in maintaining and growing the business. It is defined as the sum of “Cash flow from operating activities” and “Cash flow from investing activities”.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from acquisition and divestment activities are removed from Free cash flow to arrive at the Organic free cash flow, a measure used by management to evaluate the generation of free cash flow without these activities. </w:t>
      </w:r>
    </w:p>
    <w:tbl>
      <w:tblPr>
        <w:tblW w:w="10205" w:type="dxa"/>
        <w:jc w:val="center"/>
        <w:tblInd w:w="0" w:type="dxa"/>
        <w:tblLayout w:type="fixed"/>
        <w:tblCellMar>
          <w:top w:w="28" w:type="dxa"/>
          <w:left w:w="28" w:type="dxa"/>
          <w:bottom w:w="28" w:type="dxa"/>
          <w:right w:w="28" w:type="dxa"/>
        </w:tblCellMar>
      </w:tblPr>
      <w:tblGrid>
        <w:gridCol w:w="391"/>
        <w:gridCol w:w="345"/>
        <w:gridCol w:w="207"/>
        <w:gridCol w:w="109"/>
        <w:gridCol w:w="109"/>
        <w:gridCol w:w="109"/>
        <w:gridCol w:w="360"/>
        <w:gridCol w:w="361"/>
        <w:gridCol w:w="211"/>
        <w:gridCol w:w="109"/>
        <w:gridCol w:w="109"/>
        <w:gridCol w:w="109"/>
        <w:gridCol w:w="367"/>
        <w:gridCol w:w="369"/>
        <w:gridCol w:w="211"/>
        <w:gridCol w:w="109"/>
        <w:gridCol w:w="109"/>
        <w:gridCol w:w="109"/>
        <w:gridCol w:w="1556"/>
        <w:gridCol w:w="1454"/>
        <w:gridCol w:w="1473"/>
        <w:gridCol w:w="386"/>
        <w:gridCol w:w="386"/>
        <w:gridCol w:w="156"/>
        <w:gridCol w:w="386"/>
        <w:gridCol w:w="386"/>
        <w:gridCol w:w="219"/>
      </w:tblGrid>
      <w:tr>
        <w:trPr/>
        <w:tc>
          <w:tcPr>
            <w:tcW w:w="39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19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Full year</w:t>
            </w:r>
          </w:p>
        </w:tc>
      </w:tr>
      <w:tr>
        <w:trPr/>
        <w:tc>
          <w:tcPr>
            <w:tcW w:w="94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99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12,575 </w:t>
            </w:r>
          </w:p>
        </w:tc>
        <w:tc>
          <w:tcPr>
            <w:tcW w:w="207"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12,332 </w:t>
            </w:r>
          </w:p>
        </w:tc>
        <w:tc>
          <w:tcPr>
            <w:tcW w:w="211"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22,404 </w:t>
            </w:r>
          </w:p>
        </w:tc>
        <w:tc>
          <w:tcPr>
            <w:tcW w:w="211"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w:t>
            </w:r>
          </w:p>
        </w:tc>
        <w:tc>
          <w:tcPr>
            <w:tcW w:w="772"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54,196</w:t>
            </w:r>
            <w:r>
              <w:rPr>
                <w:color w:val="000000"/>
              </w:rPr>
              <w:t>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68,414</w:t>
            </w:r>
            <w:r>
              <w:rPr>
                <w:color w:val="000000"/>
              </w:rPr>
              <w:t> </w:t>
            </w:r>
          </w:p>
        </w:tc>
        <w:tc>
          <w:tcPr>
            <w:tcW w:w="219"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(4,827)</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(6,918)</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investing activities</w:t>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(22,448)</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6,918</w:t>
            </w:r>
            <w:r>
              <w:rPr>
                <w:color w:val="000000"/>
              </w:rPr>
              <w:t> </w:t>
            </w:r>
          </w:p>
        </w:tc>
        <w:tc>
          <w:tcPr>
            <w:tcW w:w="207"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7,505</w:t>
            </w:r>
            <w:r>
              <w:rPr>
                <w:color w:val="000000"/>
              </w:rPr>
              <w:t> </w:t>
            </w:r>
          </w:p>
        </w:tc>
        <w:tc>
          <w:tcPr>
            <w:tcW w:w="211"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15,486</w:t>
            </w:r>
            <w:r>
              <w:rPr>
                <w:color w:val="000000"/>
              </w:rPr>
              <w:t> </w:t>
            </w:r>
          </w:p>
        </w:tc>
        <w:tc>
          <w:tcPr>
            <w:tcW w:w="211"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Free cash flow</w:t>
            </w:r>
          </w:p>
        </w:tc>
        <w:tc>
          <w:tcPr>
            <w:tcW w:w="772"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36,460</w:t>
            </w:r>
            <w:r>
              <w:rPr>
                <w:color w:val="000000"/>
              </w:rPr>
              <w:t>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45,965</w:t>
            </w:r>
            <w:r>
              <w:rPr>
                <w:color w:val="000000"/>
              </w:rPr>
              <w:t> </w:t>
            </w:r>
          </w:p>
        </w:tc>
        <w:tc>
          <w:tcPr>
            <w:tcW w:w="219"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20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21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21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Divestment proceeds (Reference I)</w:t>
            </w:r>
          </w:p>
        </w:tc>
        <w:tc>
          <w:tcPr>
            <w:tcW w:w="77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21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tcBorders/>
            <w:shd w:fill="CFF0FC"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Tax paid on divestments (reported under "Other investing cash outflows")</w:t>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Times New Roman;sans-serif" w:hAnsi="Times New Roman;sans-serif"/>
                <w:b w:val="false"/>
                <w:color w:val="000000"/>
                <w:sz w:val="20"/>
              </w:rPr>
              <w:t>Add: Cash outflows related to inorganic capital expenditure</w:t>
            </w:r>
            <w:r>
              <w:rPr>
                <w:rFonts w:ascii="Times New Roman;sans-serif" w:hAnsi="Times New Roman;sans-serif"/>
                <w:b w:val="false"/>
                <w:color w:val="000000"/>
                <w:sz w:val="13"/>
              </w:rPr>
              <w:t>1</w:t>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top w:val="single" w:sz="4"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6,511</w:t>
            </w:r>
            <w:r>
              <w:rPr>
                <w:color w:val="000000"/>
              </w:rPr>
              <w:t> </w:t>
            </w:r>
          </w:p>
        </w:tc>
        <w:tc>
          <w:tcPr>
            <w:tcW w:w="207" w:type="dxa"/>
            <w:tcBorders>
              <w:top w:val="single" w:sz="4"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2"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7,246</w:t>
            </w:r>
            <w:r>
              <w:rPr>
                <w:color w:val="000000"/>
              </w:rPr>
              <w:t> </w:t>
            </w:r>
          </w:p>
        </w:tc>
        <w:tc>
          <w:tcPr>
            <w:tcW w:w="211" w:type="dxa"/>
            <w:tcBorders>
              <w:top w:val="single" w:sz="4"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2"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16,238</w:t>
            </w:r>
            <w:r>
              <w:rPr>
                <w:color w:val="000000"/>
              </w:rPr>
              <w:t> </w:t>
            </w:r>
          </w:p>
        </w:tc>
        <w:tc>
          <w:tcPr>
            <w:tcW w:w="211" w:type="dxa"/>
            <w:tcBorders>
              <w:top w:val="single" w:sz="4"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Organic free cash flow</w:t>
            </w:r>
            <w:r>
              <w:rPr>
                <w:rFonts w:ascii="Times New Roman;sans-serif" w:hAnsi="Times New Roman;sans-serif"/>
                <w:b/>
                <w:color w:val="000000"/>
                <w:sz w:val="13"/>
              </w:rPr>
              <w:t>2</w:t>
            </w:r>
          </w:p>
        </w:tc>
        <w:tc>
          <w:tcPr>
            <w:tcW w:w="772"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35,892</w:t>
            </w:r>
            <w:r>
              <w:rPr>
                <w:color w:val="000000"/>
              </w:rPr>
              <w:t> </w:t>
            </w:r>
          </w:p>
        </w:tc>
        <w:tc>
          <w:tcPr>
            <w:tcW w:w="156"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48,128</w:t>
            </w:r>
            <w:r>
              <w:rPr>
                <w:color w:val="000000"/>
              </w:rPr>
              <w:t> </w:t>
            </w:r>
          </w:p>
        </w:tc>
        <w:tc>
          <w:tcPr>
            <w:tcW w:w="219"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34</w:t>
                      </w:r>
                    </w:p>
                  </w:txbxContent>
                </v:textbox>
                <w10:wrap type="none"/>
              </v:rect>
            </w:pict>
          </mc:Fallback>
        </mc:AlternateContent>
      </w:r>
    </w:p>
    <w:p>
      <w:pPr>
        <w:pStyle w:val="TextBody"/>
        <w:bidi w:val="0"/>
        <w:spacing w:lineRule="auto" w:line="288" w:before="0" w:after="0"/>
        <w:ind w:left="0" w:right="0" w:hanging="284"/>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Cash outflows related to inorganic capital expenditure includes portfolio actions which expand Shell's activities through acquisitions and restructuring activities as reported in capital expenditure lines in the Consolidated Statement of Cash Flows.</w:t>
      </w:r>
      <w:r>
        <w:rPr>
          <w:color w:val="000000"/>
        </w:rPr>
        <w:t xml:space="preserve"> </w:t>
      </w:r>
    </w:p>
    <w:p>
      <w:pPr>
        <w:pStyle w:val="TextBody"/>
        <w:bidi w:val="0"/>
        <w:spacing w:lineRule="auto" w:line="288" w:before="0" w:after="120"/>
        <w:ind w:left="0" w:right="0" w:hanging="284"/>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Free cash flow less divestment proceeds, adding back outflows related to inorganic expenditure. </w:t>
      </w:r>
    </w:p>
    <w:p>
      <w:pPr>
        <w:pStyle w:val="TextBody"/>
        <w:bidi w:val="0"/>
        <w:spacing w:lineRule="auto" w:line="288" w:before="0" w:after="120"/>
        <w:ind w:left="0" w:right="0" w:hanging="540"/>
        <w:jc w:val="left"/>
        <w:rPr/>
      </w:pPr>
      <w:r>
        <w:rPr>
          <w:rFonts w:ascii="Times New Roman;sans-serif" w:hAnsi="Times New Roman;sans-serif"/>
          <w:b/>
          <w:color w:val="000000"/>
          <w:sz w:val="22"/>
        </w:rPr>
        <w:t>H.</w:t>
      </w:r>
      <w:r>
        <w:rPr>
          <w:color w:val="000000"/>
        </w:rPr>
        <w:t>    </w:t>
      </w:r>
      <w:r>
        <w:rPr>
          <w:rFonts w:ascii="Times New Roman;sans-serif" w:hAnsi="Times New Roman;sans-serif"/>
          <w:b/>
          <w:color w:val="000000"/>
          <w:sz w:val="22"/>
        </w:rPr>
        <w:t xml:space="preserve">Cash flow from operating activities and cash flow from operating activities excluding working capital movements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Working capital movements are defined as the sum of the following items in the Consolidated Statement of Cash Flows: (i) (increase)/decrease in inventories, (ii) (increase)/decrease in current receivables, and (iii) increase/(decrease) in current payables.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 from operating activities excluding working capital movements is a measure used by Shell to analyse its operating cash generation over time excluding the timing effects of changes in inventories and operating receivables and payables from period to period. </w:t>
      </w:r>
    </w:p>
    <w:tbl>
      <w:tblPr>
        <w:tblW w:w="10205" w:type="dxa"/>
        <w:jc w:val="left"/>
        <w:tblInd w:w="0" w:type="dxa"/>
        <w:tblLayout w:type="fixed"/>
        <w:tblCellMar>
          <w:top w:w="28" w:type="dxa"/>
          <w:left w:w="28" w:type="dxa"/>
          <w:bottom w:w="28" w:type="dxa"/>
          <w:right w:w="28" w:type="dxa"/>
        </w:tblCellMar>
      </w:tblPr>
      <w:tblGrid>
        <w:gridCol w:w="399"/>
        <w:gridCol w:w="352"/>
        <w:gridCol w:w="209"/>
        <w:gridCol w:w="109"/>
        <w:gridCol w:w="109"/>
        <w:gridCol w:w="109"/>
        <w:gridCol w:w="368"/>
        <w:gridCol w:w="368"/>
        <w:gridCol w:w="214"/>
        <w:gridCol w:w="109"/>
        <w:gridCol w:w="109"/>
        <w:gridCol w:w="109"/>
        <w:gridCol w:w="368"/>
        <w:gridCol w:w="368"/>
        <w:gridCol w:w="214"/>
        <w:gridCol w:w="109"/>
        <w:gridCol w:w="109"/>
        <w:gridCol w:w="109"/>
        <w:gridCol w:w="1519"/>
        <w:gridCol w:w="1472"/>
        <w:gridCol w:w="1490"/>
        <w:gridCol w:w="387"/>
        <w:gridCol w:w="387"/>
        <w:gridCol w:w="156"/>
        <w:gridCol w:w="368"/>
        <w:gridCol w:w="368"/>
        <w:gridCol w:w="217"/>
      </w:tblGrid>
      <w:tr>
        <w:trPr/>
        <w:tc>
          <w:tcPr>
            <w:tcW w:w="39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5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18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Full year</w:t>
            </w:r>
          </w:p>
        </w:tc>
      </w:tr>
      <w:tr>
        <w:trPr/>
        <w:tc>
          <w:tcPr>
            <w:tcW w:w="96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95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5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12,575</w:t>
            </w:r>
            <w:r>
              <w:rPr>
                <w:color w:val="000000"/>
              </w:rPr>
              <w:t> </w:t>
            </w:r>
          </w:p>
        </w:tc>
        <w:tc>
          <w:tcPr>
            <w:tcW w:w="2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12,332</w:t>
            </w:r>
            <w:r>
              <w:rPr>
                <w:color w:val="000000"/>
              </w:rPr>
              <w:t> </w:t>
            </w:r>
          </w:p>
        </w:tc>
        <w:tc>
          <w:tcPr>
            <w:tcW w:w="2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22,404</w:t>
            </w:r>
            <w:r>
              <w:rPr>
                <w:color w:val="000000"/>
              </w:rPr>
              <w:t> </w:t>
            </w:r>
          </w:p>
        </w:tc>
        <w:tc>
          <w:tcPr>
            <w:tcW w:w="2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operating activities</w:t>
            </w:r>
          </w:p>
        </w:tc>
        <w:tc>
          <w:tcPr>
            <w:tcW w:w="77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54,196</w:t>
            </w:r>
            <w:r>
              <w:rPr>
                <w:color w:val="000000"/>
              </w:rPr>
              <w:t>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68,414</w:t>
            </w:r>
            <w:r>
              <w:rPr>
                <w:color w:val="000000"/>
              </w:rPr>
              <w:t> </w:t>
            </w:r>
          </w:p>
        </w:tc>
        <w:tc>
          <w:tcPr>
            <w:tcW w:w="21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81"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81"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81"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81"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81"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81"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81"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4,088 </w:t>
            </w:r>
          </w:p>
        </w:tc>
        <w:tc>
          <w:tcPr>
            <w:tcW w:w="2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w:t>
            </w:r>
          </w:p>
        </w:tc>
        <w:tc>
          <w:tcPr>
            <w:tcW w:w="21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2,902 </w:t>
            </w:r>
          </w:p>
        </w:tc>
        <w:tc>
          <w:tcPr>
            <w:tcW w:w="21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(Increase)/decrease in inventories</w:t>
            </w:r>
          </w:p>
        </w:tc>
        <w:tc>
          <w:tcPr>
            <w:tcW w:w="77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6,325 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(8,360)</w:t>
            </w:r>
          </w:p>
        </w:tc>
        <w:tc>
          <w:tcPr>
            <w:tcW w:w="21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(Increase)/decrease in current receivables</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Increase/(decrease) in current payables</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3,336</w:t>
            </w:r>
            <w:r>
              <w:rPr>
                <w:color w:val="000000"/>
              </w:rPr>
              <w:t> </w:t>
            </w:r>
          </w:p>
        </w:tc>
        <w:tc>
          <w:tcPr>
            <w:tcW w:w="2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433</w:t>
            </w:r>
            <w:r>
              <w:rPr>
                <w:color w:val="000000"/>
              </w:rPr>
              <w:t> </w:t>
            </w:r>
          </w:p>
        </w:tc>
        <w:tc>
          <w:tcPr>
            <w:tcW w:w="21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10,390</w:t>
            </w:r>
            <w:r>
              <w:rPr>
                <w:color w:val="000000"/>
              </w:rPr>
              <w:t> </w:t>
            </w:r>
          </w:p>
        </w:tc>
        <w:tc>
          <w:tcPr>
            <w:tcW w:w="21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(Increase)/decrease in working capital</w:t>
            </w:r>
          </w:p>
        </w:tc>
        <w:tc>
          <w:tcPr>
            <w:tcW w:w="77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7,838</w:t>
            </w:r>
            <w:r>
              <w:rPr>
                <w:color w:val="000000"/>
              </w:rPr>
              <w:t>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(5,435)</w:t>
            </w:r>
          </w:p>
        </w:tc>
        <w:tc>
          <w:tcPr>
            <w:tcW w:w="21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9,238</w:t>
            </w:r>
            <w:r>
              <w:rPr>
                <w:color w:val="000000"/>
              </w:rPr>
              <w:t> </w:t>
            </w:r>
          </w:p>
        </w:tc>
        <w:tc>
          <w:tcPr>
            <w:tcW w:w="209"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11,899</w:t>
            </w:r>
            <w:r>
              <w:rPr>
                <w:color w:val="000000"/>
              </w:rPr>
              <w:t> </w:t>
            </w:r>
          </w:p>
        </w:tc>
        <w:tc>
          <w:tcPr>
            <w:tcW w:w="214"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12,014</w:t>
            </w:r>
            <w:r>
              <w:rPr>
                <w:color w:val="000000"/>
              </w:rPr>
              <w:t> </w:t>
            </w:r>
          </w:p>
        </w:tc>
        <w:tc>
          <w:tcPr>
            <w:tcW w:w="214"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operating activities excluding working capital movements</w:t>
            </w:r>
          </w:p>
        </w:tc>
        <w:tc>
          <w:tcPr>
            <w:tcW w:w="774"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46,359</w:t>
            </w:r>
            <w:r>
              <w:rPr>
                <w:color w:val="000000"/>
              </w:rPr>
              <w:t> </w:t>
            </w:r>
          </w:p>
        </w:tc>
        <w:tc>
          <w:tcPr>
            <w:tcW w:w="156"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73,848</w:t>
            </w:r>
            <w:r>
              <w:rPr>
                <w:color w:val="000000"/>
              </w:rPr>
              <w:t> </w:t>
            </w:r>
          </w:p>
        </w:tc>
        <w:tc>
          <w:tcPr>
            <w:tcW w:w="217"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hanging="540"/>
        <w:jc w:val="left"/>
        <w:rPr/>
      </w:pPr>
      <w:r>
        <w:rPr>
          <w:rFonts w:ascii="Times New Roman;sans-serif" w:hAnsi="Times New Roman;sans-serif"/>
          <w:b/>
          <w:color w:val="000000"/>
          <w:sz w:val="22"/>
        </w:rPr>
        <w:t>I.</w:t>
      </w:r>
      <w:r>
        <w:rPr>
          <w:color w:val="000000"/>
        </w:rPr>
        <w:t>    </w:t>
      </w:r>
      <w:r>
        <w:rPr>
          <w:rFonts w:ascii="Times New Roman;sans-serif" w:hAnsi="Times New Roman;sans-serif"/>
          <w:b/>
          <w:color w:val="000000"/>
          <w:sz w:val="22"/>
        </w:rPr>
        <w:t xml:space="preserve">Divestment proceeds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Divestment proceeds represent cash received from divestment activities in the period. Management regularly monitors this measure as a key lever to deliver free cash flow. </w:t>
      </w:r>
    </w:p>
    <w:tbl>
      <w:tblPr>
        <w:tblW w:w="10205" w:type="dxa"/>
        <w:jc w:val="center"/>
        <w:tblInd w:w="0" w:type="dxa"/>
        <w:tblLayout w:type="fixed"/>
        <w:tblCellMar>
          <w:top w:w="28" w:type="dxa"/>
          <w:left w:w="28" w:type="dxa"/>
          <w:bottom w:w="28" w:type="dxa"/>
          <w:right w:w="28" w:type="dxa"/>
        </w:tblCellMar>
      </w:tblPr>
      <w:tblGrid>
        <w:gridCol w:w="271"/>
        <w:gridCol w:w="232"/>
        <w:gridCol w:w="203"/>
        <w:gridCol w:w="109"/>
        <w:gridCol w:w="109"/>
        <w:gridCol w:w="109"/>
        <w:gridCol w:w="244"/>
        <w:gridCol w:w="241"/>
        <w:gridCol w:w="207"/>
        <w:gridCol w:w="109"/>
        <w:gridCol w:w="109"/>
        <w:gridCol w:w="109"/>
        <w:gridCol w:w="244"/>
        <w:gridCol w:w="241"/>
        <w:gridCol w:w="207"/>
        <w:gridCol w:w="109"/>
        <w:gridCol w:w="109"/>
        <w:gridCol w:w="109"/>
        <w:gridCol w:w="1819"/>
        <w:gridCol w:w="1788"/>
        <w:gridCol w:w="1810"/>
        <w:gridCol w:w="315"/>
        <w:gridCol w:w="316"/>
        <w:gridCol w:w="193"/>
        <w:gridCol w:w="315"/>
        <w:gridCol w:w="316"/>
        <w:gridCol w:w="262"/>
      </w:tblGrid>
      <w:tr>
        <w:trPr/>
        <w:tc>
          <w:tcPr>
            <w:tcW w:w="27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7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million</w:t>
            </w:r>
          </w:p>
        </w:tc>
        <w:tc>
          <w:tcPr>
            <w:tcW w:w="17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Full year</w:t>
            </w:r>
          </w:p>
        </w:tc>
      </w:tr>
      <w:tr>
        <w:trPr/>
        <w:tc>
          <w:tcPr>
            <w:tcW w:w="7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Q3 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06"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7"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plant and equipment and businesses</w:t>
            </w:r>
          </w:p>
        </w:tc>
        <w:tc>
          <w:tcPr>
            <w:tcW w:w="824"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w:t>
            </w:r>
          </w:p>
        </w:tc>
        <w:tc>
          <w:tcPr>
            <w:tcW w:w="893"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joint ventures and associates from sale, capital reduction and repayment of long-term loans</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r>
      <w:tr>
        <w:trPr/>
        <w:tc>
          <w:tcPr>
            <w:tcW w:w="70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equity securities</w:t>
            </w:r>
          </w:p>
        </w:tc>
        <w:tc>
          <w:tcPr>
            <w:tcW w:w="8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8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r>
      <w:tr>
        <w:trPr/>
        <w:tc>
          <w:tcPr>
            <w:tcW w:w="503"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612</w:t>
            </w:r>
            <w:r>
              <w:rPr>
                <w:color w:val="000000"/>
              </w:rPr>
              <w:t> </w:t>
            </w:r>
          </w:p>
        </w:tc>
        <w:tc>
          <w:tcPr>
            <w:tcW w:w="20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259</w:t>
            </w:r>
            <w:r>
              <w:rPr>
                <w:color w:val="000000"/>
              </w:rPr>
              <w:t> </w:t>
            </w:r>
          </w:p>
        </w:tc>
        <w:tc>
          <w:tcPr>
            <w:tcW w:w="207"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235</w:t>
            </w:r>
            <w:r>
              <w:rPr>
                <w:color w:val="000000"/>
              </w:rPr>
              <w:t> </w:t>
            </w:r>
          </w:p>
        </w:tc>
        <w:tc>
          <w:tcPr>
            <w:tcW w:w="207"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7"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Divestment proceeds</w:t>
            </w:r>
          </w:p>
        </w:tc>
        <w:tc>
          <w:tcPr>
            <w:tcW w:w="63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3,089</w:t>
            </w:r>
            <w:r>
              <w:rPr>
                <w:color w:val="000000"/>
              </w:rPr>
              <w:t> </w:t>
            </w:r>
          </w:p>
        </w:tc>
        <w:tc>
          <w:tcPr>
            <w:tcW w:w="19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2,059</w:t>
            </w:r>
            <w:r>
              <w:rPr>
                <w:color w:val="000000"/>
              </w:rPr>
              <w:t> </w:t>
            </w:r>
          </w:p>
        </w:tc>
        <w:tc>
          <w:tcPr>
            <w:tcW w:w="262"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35</w:t>
                      </w:r>
                    </w:p>
                  </w:txbxContent>
                </v:textbox>
                <w10:wrap type="none"/>
              </v:rect>
            </w:pict>
          </mc:Fallback>
        </mc:AlternateConten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CAUTIONARY STATEMENT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All amounts shown throughout this Unaudited Condensed Financial Report are unaudited. All peak production figures in Portfolio Developments are quoted at 100% expected production. The numbers presented throughout this Unaudited Condensed Financial Report may not sum precisely to the totals provided and percentages may not precisely reflect the absolute figures, due to rounding.</w:t>
      </w:r>
    </w:p>
    <w:p>
      <w:pPr>
        <w:pStyle w:val="TextBody"/>
        <w:bidi w:val="0"/>
        <w:spacing w:lineRule="auto" w:line="288" w:before="120" w:after="120"/>
        <w:jc w:val="both"/>
        <w:rPr/>
      </w:pPr>
      <w:r>
        <w:rPr>
          <w:rFonts w:ascii="Times New Roman;sans-serif" w:hAnsi="Times New Roman;sans-serif"/>
          <w:b w:val="false"/>
          <w:color w:val="000000"/>
          <w:sz w:val="20"/>
        </w:rPr>
        <w:t>The companies in which Shell plc directly and indirectly owns investments are separate legal entities. In this Unaudited Condensed Financial Report,</w:t>
      </w:r>
      <w:r>
        <w:rPr>
          <w:color w:val="0000FF"/>
        </w:rPr>
        <w:t xml:space="preserve"> </w:t>
      </w:r>
      <w:r>
        <w:rPr>
          <w:color w:val="000000"/>
        </w:rPr>
        <w:t>“</w:t>
      </w:r>
      <w:r>
        <w:rPr>
          <w:rFonts w:ascii="Times New Roman;sans-serif" w:hAnsi="Times New Roman;sans-serif"/>
          <w:b w:val="false"/>
          <w:color w:val="000000"/>
          <w:sz w:val="20"/>
        </w:rPr>
        <w:t xml:space="preserve">Shell”, “Shell Group” and “Group” are sometimes used for convenience where references are made to Shell plc and its subsidiaries in general. Likewise, the words “we”, “us” and “our” are also used to refer to Shell plc and its subsidiaries in general or to those who work for them. These terms are also used where no useful purpose is served by identifying the particular entity or entities. “Subsidiaries”, “Shell subsidiaries” and “Shell companies” as used in this Unaudited Condensed Financial Report refer to entities over which Shell plc either directly or indirectly has control. Entities and unincorporated arrangements over which Shell has joint control are generally referred to as “joint ventures” and “joint operations”, respectively. “Joint ventures” and “joint operations” are collectively referred to as “joint arrangements”. Entities over which Shell has significant influence but neither control nor joint control are referred to as “associates”. The term “Shell interest” is used for convenience to indicate the direct and/or indirect ownership interest held by Shell in an entity or unincorporated joint arrangement, after exclusion of all third-party interest. </w:t>
      </w:r>
    </w:p>
    <w:p>
      <w:pPr>
        <w:pStyle w:val="TextBody"/>
        <w:bidi w:val="0"/>
        <w:spacing w:lineRule="auto" w:line="288" w:before="12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Forward-Looking Statements</w:t>
      </w:r>
    </w:p>
    <w:p>
      <w:pPr>
        <w:pStyle w:val="TextBody"/>
        <w:bidi w:val="0"/>
        <w:spacing w:lineRule="auto" w:line="288" w:before="120" w:after="120"/>
        <w:jc w:val="both"/>
        <w:rPr/>
      </w:pPr>
      <w:r>
        <w:rPr>
          <w:rFonts w:ascii="Times New Roman;sans-serif" w:hAnsi="Times New Roman;sans-serif"/>
          <w:b w:val="false"/>
          <w:color w:val="000000"/>
          <w:sz w:val="20"/>
        </w:rPr>
        <w:t xml:space="preserve">This Unaudited Condensed Financial Report contains forward-looking statements (within the meaning of the U.S. Private Securities Litigation Reform Act of 1995) concerning the financial condition, results of operations and businesses of Shell. All statements other than statements of historical fact are, or may be deemed to be, forward-looking statements. Forward-looking statements are statements of future expectations that are based on management’s current expectations and assumptions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Shell to market risks and statements expressing management’s expectations, beliefs, estimates, forecasts, projections and assumptions. These forward-looking statements are identified by their use of terms and phrases such as “aim”, “ambition”, “anticipate”, “believe”, “could”, “estimate”, “expect”, “goals”, “intend”, “may”, “milestones”, “objectives”, “outlook”, “plan”, “probably”, “project”, “risks”, “schedule”, “seek”, “should”, “target”, “will” and similar terms and phrases. There are a number of factors that could affect the future operations of Shell and could cause those results to differ materially from those expressed in the forward-looking statements included in this Unaudited Condensed Financial Report, including (without limitation): (a) price fluctuations in crude oil and natural gas; (b) changes in demand for Shell’s products; (c) currency fluctuations; (d) drilling and production results; (e) reserves estimates; (f) loss of market share and industry competition; (g) environmental and physical risks; (h) risks associated with the identification of suitable potential acquisition properties and targets, and successful negotiation and completion of such transactions; (i) the risk of doing business in developing countries and countries subject to international sanctions; (j) legislative, judicial, fiscal and regulatory developments including regulatory measures addressing climate change; (k) economic and financial market conditions in various countries and regions; (l) political risks, including the risks of expropriation and renegotiation of the terms of contracts with governmental entities, delays or advancements in the approval of projects and delays in the reimbursement for shared costs; (m) risks associated with the impact of pandemics, such as the COVID-19 (coronavirus) outbreak; and (n) changes in trading conditions. No assurance is provided that future dividend payments will match or exceed previous dividend payments. All forward-looking statements contained in this Unaudited Condensed Financial Report are expressly qualified in their entirety by the cautionary statements contained or referred to in this section. Readers should not place undue reliance on forward-looking statements. Additional risk factors that may affect future results are contained in Shell plc’s Form 20-F for the year ended December 31, 2022 (available at </w:t>
      </w:r>
      <w:r>
        <w:rPr>
          <w:rFonts w:ascii="Times New Roman;sans-serif" w:hAnsi="Times New Roman;sans-serif"/>
          <w:b w:val="false"/>
          <w:color w:val="000000"/>
          <w:sz w:val="20"/>
          <w:u w:val="single"/>
        </w:rPr>
        <w:t>www.shell.com/investor</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www.sec.gov</w:t>
      </w:r>
      <w:r>
        <w:rPr>
          <w:rFonts w:ascii="Times New Roman;sans-serif" w:hAnsi="Times New Roman;sans-serif"/>
          <w:b w:val="false"/>
          <w:color w:val="000000"/>
          <w:sz w:val="20"/>
        </w:rPr>
        <w:t>). These risk factors also expressly qualify all forward-looking statements contained in this Unaudited Condensed Financial Report and should be considered by the reader. Each forward-looking statement speaks only as of the date of this Unaudited Condensed Financial Report, February 1, 2024. Neither Shell plc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in this Unaudited Condensed Financial Report.</w:t>
      </w:r>
    </w:p>
    <w:p>
      <w:pPr>
        <w:pStyle w:val="TextBody"/>
        <w:bidi w:val="0"/>
        <w:spacing w:lineRule="auto" w:line="268" w:before="12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Shell’s Net Carbon Intensity</w:t>
      </w:r>
    </w:p>
    <w:p>
      <w:pPr>
        <w:pStyle w:val="TextBody"/>
        <w:bidi w:val="0"/>
        <w:spacing w:lineRule="auto" w:line="288" w:before="120" w:after="120"/>
        <w:jc w:val="left"/>
        <w:rPr/>
      </w:pPr>
      <w:r>
        <w:rPr>
          <w:rFonts w:ascii="Times New Roman;sans-serif" w:hAnsi="Times New Roman;sans-serif"/>
          <w:b w:val="false"/>
          <w:color w:val="000000"/>
          <w:sz w:val="20"/>
        </w:rPr>
        <w:t>Also, in this Unaudited Condensed Financial Report</w:t>
      </w:r>
      <w:r>
        <w:rPr>
          <w:color w:val="FF0000"/>
        </w:rPr>
        <w:t xml:space="preserve"> </w:t>
      </w:r>
      <w:r>
        <w:rPr>
          <w:rFonts w:ascii="Times New Roman;sans-serif" w:hAnsi="Times New Roman;sans-serif"/>
          <w:b w:val="false"/>
          <w:color w:val="000000"/>
          <w:sz w:val="20"/>
        </w:rPr>
        <w:t>we may refer to Shell’s “Net Carbon Intensity”, which includes Shell’s carbon emissions from the production of our energy products, our suppliers’ carbon emissions in supplying energy for that production and our customers’ carbon emissions associated with their use of the energy products we sell. Shell only controls its own emissions. The use of the term Shell’s “Net Carbon Intensity” is for convenience only and not intended to suggest these emissions are those of Shell plc or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36</w:t>
                      </w:r>
                    </w:p>
                  </w:txbxContent>
                </v:textbox>
                <w10:wrap type="none"/>
              </v:rect>
            </w:pict>
          </mc:Fallback>
        </mc:AlternateContent>
      </w:r>
    </w:p>
    <w:p>
      <w:pPr>
        <w:pStyle w:val="TextBody"/>
        <w:bidi w:val="0"/>
        <w:spacing w:lineRule="auto" w:line="288" w:before="12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Shell’s net-Zero Emissions Target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Shell’s operating plan, outlook and budgets are forecasted for a ten-year period and are updated every year. They reflect the current economic environment and what we can reasonably expect to see over the next ten years. Accordingly, they reflect our Scope 1, Scope 2 and Net Carbon Intensity (NCI) targets over the next ten years. However, Shell’s operating plans cannot reflect our 2050 net-zero emissions target and 2035 NCI target, as these targets are currently outside our planning period. In the future, as society moves towards net-zero emissions, we expect Shell’s operating plans to reflect this movement. However, if society is not net zero in 2050, as of today, there would be significant risk that Shell may not meet this target. </w:t>
      </w:r>
    </w:p>
    <w:p>
      <w:pPr>
        <w:pStyle w:val="TextBody"/>
        <w:bidi w:val="0"/>
        <w:spacing w:lineRule="auto" w:line="288" w:before="12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Forward-Looking Non-GAAP measures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This Unaudited Condensed Financial Report may contain certain forward-looking non-GAAP measures such as cash capital expenditure and divestments. We are unable to provide a reconciliation of these forward-looking Non-GAAP measures to the most comparable GAAP financial measures because certain information needed to reconcile those Non-GAAP measures to the most comparable GAAP financial measures is dependent on future events some of which are outside the control of Shell, such as oil and gas prices, interest rates and exchange rates. Moreover, estimating such GAAP measures with the required precision necessary to provide a meaningful reconciliation is extremely difficult and could not be accomplished without unreasonable effort. Non-GAAP measures in respect of future periods which cannot be reconciled to the most comparable GAAP financial measure are calculated in a manner which is consistent with the accounting policies applied in Shell plc’s consolidated financial statements.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contents of websites referred to in this Unaudited Condensed Financial Report do not form part of this Unaudited Condensed Financial Report.</w:t>
      </w:r>
    </w:p>
    <w:p>
      <w:pPr>
        <w:pStyle w:val="TextBody"/>
        <w:bidi w:val="0"/>
        <w:spacing w:lineRule="auto" w:line="288" w:before="120" w:after="120"/>
        <w:jc w:val="both"/>
        <w:rPr/>
      </w:pPr>
      <w:r>
        <w:rPr>
          <w:rFonts w:ascii="Times New Roman;sans-serif" w:hAnsi="Times New Roman;sans-serif"/>
          <w:b w:val="false"/>
          <w:color w:val="000000"/>
          <w:sz w:val="20"/>
        </w:rPr>
        <w:t xml:space="preserve">We may have used certain terms, such as resources, in this Unaudited Condensed Financial Report that the United States Securities and Exchange Commission (SEC) strictly prohibits us from including in our filings with the SEC. Investors are urged to consider closely the disclosure in our Form 20-F, File No 1-32575, available on the SEC website </w:t>
      </w:r>
      <w:r>
        <w:rPr>
          <w:rFonts w:ascii="Times New Roman;sans-serif" w:hAnsi="Times New Roman;sans-serif"/>
          <w:b w:val="false"/>
          <w:color w:val="000000"/>
          <w:sz w:val="20"/>
          <w:u w:val="single"/>
        </w:rPr>
        <w:t>www.sec.gov</w:t>
      </w:r>
      <w:r>
        <w:rPr>
          <w:rFonts w:ascii="Times New Roman;sans-serif" w:hAnsi="Times New Roman;sans-serif"/>
          <w:b w:val="false"/>
          <w:color w:val="000000"/>
          <w:sz w:val="20"/>
        </w:rPr>
        <w:t xml:space="preserv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Unaudited Condensed Financial Report contains inside information. </w:t>
      </w:r>
    </w:p>
    <w:p>
      <w:pPr>
        <w:pStyle w:val="TextBody"/>
        <w:bidi w:val="0"/>
        <w:spacing w:lineRule="auto" w:line="26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February 1, 2024</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in this Unaudited Condensed Financial Report reflects the unaudited consolidated financial position and results of Shell plc. Company No. 4366849, Registered Office: Shell Centre, London, SE1 7NA, England, UK.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Contacts: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Caroline J.M. Omloo, Company Secretary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Media: International +44 (0) 207 934 5550; USA +1 832 337 4355</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LEI number of Shell plc: 21380068P1DRHMJ8KU70</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Classification: Inside Information</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37</w:t>
                      </w:r>
                    </w:p>
                  </w:txbxContent>
                </v:textbox>
                <w10:wrap type="none"/>
              </v:rect>
            </w:pict>
          </mc:Fallback>
        </mc:AlternateContent>
      </w:r>
    </w:p>
    <w:p>
      <w:pPr>
        <w:pStyle w:val="TextBody"/>
        <w:bidi w:val="0"/>
        <w:spacing w:lineRule="auto" w:line="288" w:before="0" w:after="120"/>
        <w:jc w:val="left"/>
        <w:rPr>
          <w:rFonts w:ascii="Times New Roman;sans-serif" w:hAnsi="Times New Roman;sans-serif"/>
          <w:b/>
          <w:color w:val="DD1D21"/>
          <w:sz w:val="22"/>
        </w:rPr>
      </w:pPr>
      <w:r>
        <w:rPr>
          <w:rFonts w:ascii="Times New Roman;sans-serif" w:hAnsi="Times New Roman;sans-serif"/>
          <w:b/>
          <w:color w:val="DD1D21"/>
          <w:sz w:val="22"/>
        </w:rPr>
        <w:t>APPENDIX</w:t>
      </w:r>
    </w:p>
    <w:p>
      <w:pPr>
        <w:pStyle w:val="TextBody"/>
        <w:bidi w:val="0"/>
        <w:spacing w:lineRule="auto" w:line="288" w:before="0" w:after="120"/>
        <w:ind w:left="0" w:right="0" w:hanging="360"/>
        <w:jc w:val="left"/>
        <w:rPr>
          <w:rFonts w:ascii="Times New Roman;sans-serif" w:hAnsi="Times New Roman;sans-serif"/>
          <w:b/>
          <w:color w:val="595959"/>
          <w:sz w:val="20"/>
        </w:rPr>
      </w:pPr>
      <w:r>
        <w:rPr>
          <w:rFonts w:ascii="Times New Roman;sans-serif" w:hAnsi="Times New Roman;sans-serif"/>
          <w:b/>
          <w:color w:val="595959"/>
          <w:sz w:val="20"/>
        </w:rPr>
        <w:t xml:space="preserve">LIQUIDITY AND CAPITAL RESOURCES FOR THE THREE MONTHS ENDED DECEMBER 31, 2023 </w:t>
      </w:r>
    </w:p>
    <w:p>
      <w:pPr>
        <w:pStyle w:val="TextBody"/>
        <w:bidi w:val="0"/>
        <w:spacing w:lineRule="auto" w:line="288" w:before="0" w:after="120"/>
        <w:ind w:left="0" w:right="0" w:hanging="360"/>
        <w:jc w:val="left"/>
        <w:rPr/>
      </w:pPr>
      <w:r>
        <w:rPr>
          <w:color w:val="D42E12"/>
        </w:rPr>
        <w:t>▪</w:t>
      </w:r>
      <w:r>
        <w:rPr>
          <w:rFonts w:ascii="Times New Roman;sans-serif" w:hAnsi="Times New Roman;sans-serif"/>
          <w:b/>
          <w:color w:val="595959"/>
          <w:sz w:val="18"/>
        </w:rPr>
        <w:t>Cash and cash equivalents</w:t>
      </w:r>
      <w:r>
        <w:rPr>
          <w:color w:val="595959"/>
        </w:rPr>
        <w:t xml:space="preserve"> </w:t>
      </w:r>
      <w:r>
        <w:rPr>
          <w:rFonts w:ascii="Times New Roman;sans-serif" w:hAnsi="Times New Roman;sans-serif"/>
          <w:b w:val="false"/>
          <w:color w:val="595959"/>
          <w:sz w:val="18"/>
        </w:rPr>
        <w:t>decreased to $38.8 billion at December 31, 2023, from $43.0 billion at September 30, 2023.</w:t>
      </w:r>
    </w:p>
    <w:p>
      <w:pPr>
        <w:pStyle w:val="TextBody"/>
        <w:bidi w:val="0"/>
        <w:spacing w:lineRule="auto" w:line="288" w:before="0" w:after="120"/>
        <w:ind w:left="0" w:right="0" w:hanging="360"/>
        <w:jc w:val="left"/>
        <w:rPr/>
      </w:pPr>
      <w:r>
        <w:rPr>
          <w:color w:val="D42E12"/>
        </w:rPr>
        <w:t>▪</w:t>
      </w:r>
      <w:r>
        <w:rPr>
          <w:rFonts w:ascii="Times New Roman;sans-serif" w:hAnsi="Times New Roman;sans-serif"/>
          <w:b/>
          <w:color w:val="595959"/>
          <w:sz w:val="18"/>
        </w:rPr>
        <w:t>Cash flow from operating activities</w:t>
      </w:r>
      <w:r>
        <w:rPr>
          <w:color w:val="595959"/>
        </w:rPr>
        <w:t xml:space="preserve"> </w:t>
      </w:r>
      <w:r>
        <w:rPr>
          <w:rFonts w:ascii="Times New Roman;sans-serif" w:hAnsi="Times New Roman;sans-serif"/>
          <w:b w:val="false"/>
          <w:color w:val="595959"/>
          <w:sz w:val="18"/>
        </w:rPr>
        <w:t>was an inflow of $12.6 billion for the fourth quarter 2023, which included a positive working capital movement of $3.3 billion.</w:t>
      </w:r>
    </w:p>
    <w:p>
      <w:pPr>
        <w:pStyle w:val="TextBody"/>
        <w:bidi w:val="0"/>
        <w:spacing w:lineRule="auto" w:line="288" w:before="0" w:after="120"/>
        <w:ind w:left="0" w:right="0" w:hanging="360"/>
        <w:jc w:val="left"/>
        <w:rPr/>
      </w:pPr>
      <w:r>
        <w:rPr>
          <w:color w:val="D42E12"/>
        </w:rPr>
        <w:t>▪</w:t>
      </w:r>
      <w:r>
        <w:rPr>
          <w:rFonts w:ascii="Times New Roman;sans-serif" w:hAnsi="Times New Roman;sans-serif"/>
          <w:b/>
          <w:color w:val="595959"/>
          <w:sz w:val="18"/>
        </w:rPr>
        <w:t>Cash flow from investing activities</w:t>
      </w:r>
      <w:r>
        <w:rPr>
          <w:color w:val="595959"/>
        </w:rPr>
        <w:t xml:space="preserve"> </w:t>
      </w:r>
      <w:r>
        <w:rPr>
          <w:rFonts w:ascii="Times New Roman;sans-serif" w:hAnsi="Times New Roman;sans-serif"/>
          <w:b w:val="false"/>
          <w:color w:val="595959"/>
          <w:sz w:val="18"/>
        </w:rPr>
        <w:t>was an outflow of $5.7 billion for the fourth quarter 2023, mainly driven by capital expenditure of $7.0 billion and other investing cash outflows of $0.7, partly offset by other investing cash inflows of $1.0 billion.</w:t>
      </w:r>
    </w:p>
    <w:p>
      <w:pPr>
        <w:pStyle w:val="TextBody"/>
        <w:bidi w:val="0"/>
        <w:spacing w:lineRule="auto" w:line="288" w:before="0" w:after="120"/>
        <w:ind w:left="0" w:right="0" w:hanging="360"/>
        <w:jc w:val="left"/>
        <w:rPr/>
      </w:pPr>
      <w:r>
        <w:rPr>
          <w:color w:val="D42E12"/>
        </w:rPr>
        <w:t>▪</w:t>
      </w:r>
      <w:r>
        <w:rPr>
          <w:rFonts w:ascii="Times New Roman;sans-serif" w:hAnsi="Times New Roman;sans-serif"/>
          <w:b/>
          <w:color w:val="595959"/>
          <w:sz w:val="18"/>
        </w:rPr>
        <w:t>Cash flow from financing activities</w:t>
      </w:r>
      <w:r>
        <w:rPr>
          <w:color w:val="595959"/>
        </w:rPr>
        <w:t xml:space="preserve"> </w:t>
      </w:r>
      <w:r>
        <w:rPr>
          <w:rFonts w:ascii="Times New Roman;sans-serif" w:hAnsi="Times New Roman;sans-serif"/>
          <w:b w:val="false"/>
          <w:color w:val="595959"/>
          <w:sz w:val="18"/>
        </w:rPr>
        <w:t>was an outflow of $11.7 billion for the fourth quarter 2023, mainly driven by debt repayments of $4.1 billion, repurchases of shares of $4.0 billion and dividend payments to Shell plc shareholders of $2.2 billion.</w:t>
      </w:r>
    </w:p>
    <w:p>
      <w:pPr>
        <w:pStyle w:val="TextBody"/>
        <w:bidi w:val="0"/>
        <w:spacing w:lineRule="auto" w:line="288" w:before="0" w:after="120"/>
        <w:ind w:left="0" w:right="0" w:hanging="360"/>
        <w:jc w:val="left"/>
        <w:rPr/>
      </w:pPr>
      <w:r>
        <w:rPr>
          <w:color w:val="D42E12"/>
        </w:rPr>
        <w:t>▪</w:t>
      </w:r>
      <w:r>
        <w:rPr>
          <w:rFonts w:ascii="Times New Roman;sans-serif" w:hAnsi="Times New Roman;sans-serif"/>
          <w:b/>
          <w:color w:val="595959"/>
          <w:sz w:val="18"/>
        </w:rPr>
        <w:t>Total current and non-current debt</w:t>
      </w:r>
      <w:r>
        <w:rPr>
          <w:color w:val="595959"/>
        </w:rPr>
        <w:t xml:space="preserve"> </w:t>
      </w:r>
      <w:r>
        <w:rPr>
          <w:rFonts w:ascii="Times New Roman;sans-serif" w:hAnsi="Times New Roman;sans-serif"/>
          <w:b w:val="false"/>
          <w:color w:val="595959"/>
          <w:sz w:val="18"/>
        </w:rPr>
        <w:t>decreased to $81.5 billion at December 31, 2023, compared with $82.1 billion at September 30, 2023. Total debt excluding lease liabilities decreased by $0.5 billion and the carrying amount of lease liabilities decreased by $0.1 billion. In</w:t>
      </w:r>
      <w:r>
        <w:rPr>
          <w:color w:val="595959"/>
          <w:shd w:fill="FFFFFF" w:val="clear"/>
        </w:rPr>
        <w:t xml:space="preserve"> </w:t>
      </w:r>
      <w:r>
        <w:rPr>
          <w:rFonts w:ascii="Times New Roman;sans-serif" w:hAnsi="Times New Roman;sans-serif"/>
          <w:b w:val="false"/>
          <w:color w:val="595959"/>
          <w:sz w:val="18"/>
          <w:shd w:fill="FFFFFF" w:val="clear"/>
        </w:rPr>
        <w:t xml:space="preserve">the fourth quarter 2023, </w:t>
      </w:r>
      <w:r>
        <w:rPr>
          <w:rFonts w:ascii="Times New Roman;sans-serif" w:hAnsi="Times New Roman;sans-serif"/>
          <w:b w:val="false"/>
          <w:color w:val="595959"/>
          <w:sz w:val="18"/>
        </w:rPr>
        <w:t>Shell issued no debt under the US shelf registration or under the Euro medium-term note programmes.</w:t>
      </w:r>
    </w:p>
    <w:p>
      <w:pPr>
        <w:pStyle w:val="TextBody"/>
        <w:bidi w:val="0"/>
        <w:spacing w:lineRule="auto" w:line="288" w:before="0" w:after="120"/>
        <w:ind w:left="0" w:right="0" w:hanging="360"/>
        <w:jc w:val="left"/>
        <w:rPr/>
      </w:pPr>
      <w:r>
        <w:rPr>
          <w:color w:val="D42E12"/>
        </w:rPr>
        <w:t>▪</w:t>
      </w:r>
      <w:r>
        <w:rPr>
          <w:rFonts w:ascii="Times New Roman;sans-serif" w:hAnsi="Times New Roman;sans-serif"/>
          <w:b/>
          <w:color w:val="595959"/>
          <w:sz w:val="18"/>
        </w:rPr>
        <w:t>Cash dividends</w:t>
      </w:r>
      <w:r>
        <w:rPr>
          <w:color w:val="595959"/>
        </w:rPr>
        <w:t xml:space="preserve"> </w:t>
      </w:r>
      <w:r>
        <w:rPr>
          <w:rFonts w:ascii="Times New Roman;sans-serif" w:hAnsi="Times New Roman;sans-serif"/>
          <w:b w:val="false"/>
          <w:color w:val="595959"/>
          <w:sz w:val="18"/>
        </w:rPr>
        <w:t>paid to Shell plc shareholders were $2.2 billion in the fourth quarter 2023, compared with $1.8 billion in the fourth quarter 2022.</w:t>
      </w:r>
    </w:p>
    <w:p>
      <w:pPr>
        <w:pStyle w:val="TextBody"/>
        <w:bidi w:val="0"/>
        <w:spacing w:lineRule="auto" w:line="288" w:before="0" w:after="120"/>
        <w:ind w:left="0" w:right="0" w:hanging="360"/>
        <w:jc w:val="left"/>
        <w:rPr/>
      </w:pPr>
      <w:r>
        <w:rPr>
          <w:color w:val="D42E12"/>
        </w:rPr>
        <w:t>▪</w:t>
      </w:r>
      <w:r>
        <w:rPr>
          <w:rFonts w:ascii="Times New Roman;sans-serif" w:hAnsi="Times New Roman;sans-serif"/>
          <w:b/>
          <w:color w:val="595959"/>
          <w:sz w:val="18"/>
        </w:rPr>
        <w:t>Dividends</w:t>
      </w:r>
      <w:r>
        <w:rPr>
          <w:color w:val="595959"/>
        </w:rPr>
        <w:t xml:space="preserve"> </w:t>
      </w:r>
      <w:r>
        <w:rPr>
          <w:rFonts w:ascii="Times New Roman;sans-serif" w:hAnsi="Times New Roman;sans-serif"/>
          <w:b w:val="false"/>
          <w:color w:val="595959"/>
          <w:sz w:val="18"/>
        </w:rPr>
        <w:t>of $0.3440 per share are announced on February 1, 2024, in respect of the fourth quarter 2023. These dividends are payable on March 25,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595959"/>
          <w:sz w:val="20"/>
        </w:rPr>
        <w:t>LIQUIDITY AND CAPITAL RESOURCES FOR THE TWELVE MONTHS ENDED</w:t>
      </w:r>
      <w:r>
        <w:rPr>
          <w:color w:val="000000"/>
        </w:rPr>
        <w:t xml:space="preserve"> </w:t>
      </w:r>
      <w:r>
        <w:rPr>
          <w:rFonts w:ascii="Times New Roman;sans-serif" w:hAnsi="Times New Roman;sans-serif"/>
          <w:b/>
          <w:color w:val="595959"/>
          <w:sz w:val="20"/>
        </w:rPr>
        <w:t>DECEMBER 31, 2023</w:t>
      </w:r>
      <w:r>
        <w:rPr>
          <w:color w:val="000000"/>
        </w:rPr>
        <w:t xml:space="preserve"> </w:t>
      </w:r>
    </w:p>
    <w:p>
      <w:pPr>
        <w:pStyle w:val="TextBody"/>
        <w:bidi w:val="0"/>
        <w:spacing w:lineRule="auto" w:line="288" w:before="0" w:after="120"/>
        <w:ind w:left="0" w:right="0" w:hanging="360"/>
        <w:jc w:val="left"/>
        <w:rPr/>
      </w:pPr>
      <w:r>
        <w:rPr>
          <w:color w:val="D42E12"/>
        </w:rPr>
        <w:t>▪</w:t>
      </w:r>
      <w:r>
        <w:rPr>
          <w:rFonts w:ascii="Times New Roman;sans-serif" w:hAnsi="Times New Roman;sans-serif"/>
          <w:b/>
          <w:color w:val="595959"/>
          <w:sz w:val="18"/>
        </w:rPr>
        <w:t>Cash and cash equivalents</w:t>
      </w:r>
      <w:r>
        <w:rPr>
          <w:color w:val="595959"/>
        </w:rPr>
        <w:t xml:space="preserve"> </w:t>
      </w:r>
      <w:r>
        <w:rPr>
          <w:rFonts w:ascii="Times New Roman;sans-serif" w:hAnsi="Times New Roman;sans-serif"/>
          <w:b w:val="false"/>
          <w:color w:val="595959"/>
          <w:sz w:val="18"/>
        </w:rPr>
        <w:t>decreased</w:t>
      </w:r>
      <w:r>
        <w:rPr>
          <w:color w:val="000000"/>
        </w:rPr>
        <w:t xml:space="preserve"> </w:t>
      </w:r>
      <w:r>
        <w:rPr>
          <w:rFonts w:ascii="Times New Roman;sans-serif" w:hAnsi="Times New Roman;sans-serif"/>
          <w:b w:val="false"/>
          <w:color w:val="595959"/>
          <w:sz w:val="18"/>
        </w:rPr>
        <w:t>to $38.8 billion at December 31, 2023, from $40.2 billion at December 31, 2022.</w:t>
      </w:r>
    </w:p>
    <w:p>
      <w:pPr>
        <w:pStyle w:val="TextBody"/>
        <w:bidi w:val="0"/>
        <w:spacing w:lineRule="auto" w:line="288" w:before="0" w:after="120"/>
        <w:ind w:left="0" w:right="0" w:hanging="360"/>
        <w:jc w:val="left"/>
        <w:rPr/>
      </w:pPr>
      <w:r>
        <w:rPr>
          <w:color w:val="D42E12"/>
        </w:rPr>
        <w:t>▪</w:t>
      </w:r>
      <w:r>
        <w:rPr>
          <w:rFonts w:ascii="Times New Roman;sans-serif" w:hAnsi="Times New Roman;sans-serif"/>
          <w:b/>
          <w:color w:val="595959"/>
          <w:sz w:val="18"/>
        </w:rPr>
        <w:t>Cash flow from operating activities</w:t>
      </w:r>
      <w:r>
        <w:rPr>
          <w:color w:val="000000"/>
        </w:rPr>
        <w:t xml:space="preserve"> </w:t>
      </w:r>
      <w:r>
        <w:rPr>
          <w:rFonts w:ascii="Times New Roman;sans-serif" w:hAnsi="Times New Roman;sans-serif"/>
          <w:b w:val="false"/>
          <w:color w:val="595959"/>
          <w:sz w:val="18"/>
        </w:rPr>
        <w:t xml:space="preserve">was an inflow of $54.2 billion for the twelve months ended December 31, 2023, which included a positive working capital movement of $7.8 billion. </w:t>
      </w:r>
    </w:p>
    <w:p>
      <w:pPr>
        <w:pStyle w:val="TextBody"/>
        <w:bidi w:val="0"/>
        <w:spacing w:lineRule="auto" w:line="288" w:before="0" w:after="120"/>
        <w:ind w:left="0" w:right="0" w:hanging="360"/>
        <w:jc w:val="left"/>
        <w:rPr/>
      </w:pPr>
      <w:r>
        <w:rPr>
          <w:color w:val="D42E12"/>
        </w:rPr>
        <w:t>▪</w:t>
      </w:r>
      <w:r>
        <w:rPr>
          <w:rFonts w:ascii="Times New Roman;sans-serif" w:hAnsi="Times New Roman;sans-serif"/>
          <w:b/>
          <w:color w:val="595959"/>
          <w:sz w:val="18"/>
        </w:rPr>
        <w:t>Cash flow from investing activities</w:t>
      </w:r>
      <w:r>
        <w:rPr>
          <w:color w:val="000000"/>
        </w:rPr>
        <w:t xml:space="preserve"> </w:t>
      </w:r>
      <w:r>
        <w:rPr>
          <w:rFonts w:ascii="Times New Roman;sans-serif" w:hAnsi="Times New Roman;sans-serif"/>
          <w:b w:val="false"/>
          <w:color w:val="595959"/>
          <w:sz w:val="18"/>
        </w:rPr>
        <w:t>was an outflow of $17.7 billion for the twelve months ended December 31, 2023, mainly driven by capital expenditure of $23.0 billion and other investing cash outflows of $2.8 billion, partly offset by other investing cash inflows of $4.3 billion and proceeds from sale of property, plant and equipment and businesses of $2.6 billion.</w:t>
      </w:r>
    </w:p>
    <w:p>
      <w:pPr>
        <w:pStyle w:val="TextBody"/>
        <w:bidi w:val="0"/>
        <w:spacing w:lineRule="auto" w:line="288" w:before="0" w:after="120"/>
        <w:ind w:left="0" w:right="0" w:hanging="360"/>
        <w:jc w:val="left"/>
        <w:rPr/>
      </w:pPr>
      <w:r>
        <w:rPr>
          <w:color w:val="D42E12"/>
          <w:shd w:fill="FFFFFF" w:val="clear"/>
        </w:rPr>
        <w:t>▪</w:t>
      </w:r>
      <w:r>
        <w:rPr>
          <w:rFonts w:ascii="Times New Roman;sans-serif" w:hAnsi="Times New Roman;sans-serif"/>
          <w:b/>
          <w:color w:val="595959"/>
          <w:sz w:val="18"/>
          <w:shd w:fill="FFFFFF" w:val="clear"/>
        </w:rPr>
        <w:t>Cash flow from financing activities</w:t>
      </w:r>
      <w:r>
        <w:rPr>
          <w:color w:val="595959"/>
          <w:shd w:fill="FFFFFF" w:val="clear"/>
        </w:rPr>
        <w:t xml:space="preserve"> </w:t>
      </w:r>
      <w:r>
        <w:rPr>
          <w:rFonts w:ascii="Times New Roman;sans-serif" w:hAnsi="Times New Roman;sans-serif"/>
          <w:b w:val="false"/>
          <w:color w:val="595959"/>
          <w:sz w:val="18"/>
          <w:shd w:fill="FFFFFF" w:val="clear"/>
        </w:rPr>
        <w:t xml:space="preserve">was an outflow of $38.2 billion </w:t>
      </w:r>
      <w:r>
        <w:rPr>
          <w:rFonts w:ascii="Times New Roman;sans-serif" w:hAnsi="Times New Roman;sans-serif"/>
          <w:b w:val="false"/>
          <w:color w:val="595959"/>
          <w:sz w:val="18"/>
        </w:rPr>
        <w:t>for the twelve months ended December 31, 2023</w:t>
      </w:r>
      <w:r>
        <w:rPr>
          <w:rFonts w:ascii="Times New Roman;sans-serif" w:hAnsi="Times New Roman;sans-serif"/>
          <w:b w:val="false"/>
          <w:color w:val="595959"/>
          <w:sz w:val="18"/>
          <w:shd w:fill="FFFFFF" w:val="clear"/>
        </w:rPr>
        <w:t xml:space="preserve">, mainly driven by </w:t>
      </w:r>
      <w:r>
        <w:rPr>
          <w:rFonts w:ascii="Times New Roman;sans-serif" w:hAnsi="Times New Roman;sans-serif"/>
          <w:b w:val="false"/>
          <w:color w:val="595959"/>
          <w:sz w:val="18"/>
        </w:rPr>
        <w:t>repurchases of shares of $14.6 billion, debt repayments of $10.7 , and dividend payments to Shell plc shareholders of $8.4 billion.</w:t>
      </w:r>
    </w:p>
    <w:p>
      <w:pPr>
        <w:pStyle w:val="TextBody"/>
        <w:bidi w:val="0"/>
        <w:spacing w:lineRule="auto" w:line="288" w:before="0" w:after="120"/>
        <w:ind w:left="0" w:right="0" w:hanging="360"/>
        <w:jc w:val="left"/>
        <w:rPr/>
      </w:pPr>
      <w:r>
        <w:rPr>
          <w:color w:val="D42E12"/>
        </w:rPr>
        <w:t>▪</w:t>
      </w:r>
      <w:r>
        <w:rPr>
          <w:rFonts w:ascii="Times New Roman;sans-serif" w:hAnsi="Times New Roman;sans-serif"/>
          <w:b/>
          <w:color w:val="595959"/>
          <w:sz w:val="18"/>
        </w:rPr>
        <w:t xml:space="preserve">Total current and non-current debt </w:t>
      </w:r>
      <w:r>
        <w:rPr>
          <w:rFonts w:ascii="Times New Roman;sans-serif" w:hAnsi="Times New Roman;sans-serif"/>
          <w:b w:val="false"/>
          <w:color w:val="595959"/>
          <w:sz w:val="18"/>
        </w:rPr>
        <w:t>decreased</w:t>
      </w:r>
      <w:r>
        <w:rPr>
          <w:color w:val="595959"/>
        </w:rPr>
        <w:t xml:space="preserve"> </w:t>
      </w:r>
      <w:r>
        <w:rPr>
          <w:rFonts w:ascii="Times New Roman;sans-serif" w:hAnsi="Times New Roman;sans-serif"/>
          <w:b w:val="false"/>
          <w:color w:val="595959"/>
          <w:sz w:val="18"/>
        </w:rPr>
        <w:t>to $81.5 billion at December 31, 2023, compared with $83.8 billion</w:t>
      </w:r>
      <w:r>
        <w:rPr>
          <w:color w:val="595959"/>
          <w:shd w:fill="FFFFFF" w:val="clear"/>
        </w:rPr>
        <w:t xml:space="preserve"> </w:t>
      </w:r>
      <w:r>
        <w:rPr>
          <w:rFonts w:ascii="Times New Roman;sans-serif" w:hAnsi="Times New Roman;sans-serif"/>
          <w:b w:val="false"/>
          <w:color w:val="595959"/>
          <w:sz w:val="18"/>
        </w:rPr>
        <w:t xml:space="preserve">at December 31, 2022. Total debt excluding lease liabilities decreased by $2.3 billion and the carrying amount of lease liabilities increased by $0.1 billion. </w:t>
      </w:r>
      <w:r>
        <w:rPr>
          <w:rFonts w:ascii="Times New Roman;sans-serif" w:hAnsi="Times New Roman;sans-serif"/>
          <w:b w:val="false"/>
          <w:color w:val="595959"/>
          <w:sz w:val="18"/>
          <w:shd w:fill="FFFFFF" w:val="clear"/>
        </w:rPr>
        <w:t>I</w:t>
      </w:r>
      <w:r>
        <w:rPr>
          <w:rFonts w:ascii="Times New Roman;sans-serif" w:hAnsi="Times New Roman;sans-serif"/>
          <w:b w:val="false"/>
          <w:color w:val="595959"/>
          <w:sz w:val="18"/>
        </w:rPr>
        <w:t>n the the twelve months ended December 31, 2023, Shell issued no debt under the US shelf registration or under the Euro medium-term note programmes.</w:t>
      </w:r>
    </w:p>
    <w:p>
      <w:pPr>
        <w:pStyle w:val="TextBody"/>
        <w:bidi w:val="0"/>
        <w:spacing w:lineRule="auto" w:line="288" w:before="0" w:after="120"/>
        <w:ind w:left="0" w:right="0" w:hanging="360"/>
        <w:jc w:val="left"/>
        <w:rPr/>
      </w:pPr>
      <w:r>
        <w:rPr>
          <w:color w:val="D42E12"/>
          <w:shd w:fill="FFFFFF" w:val="clear"/>
        </w:rPr>
        <w:t>▪</w:t>
      </w:r>
      <w:r>
        <w:rPr>
          <w:rFonts w:ascii="Times New Roman;sans-serif" w:hAnsi="Times New Roman;sans-serif"/>
          <w:b/>
          <w:color w:val="595959"/>
          <w:sz w:val="18"/>
        </w:rPr>
        <w:t>Cash dividends</w:t>
      </w:r>
      <w:r>
        <w:rPr>
          <w:color w:val="595959"/>
        </w:rPr>
        <w:t xml:space="preserve"> </w:t>
      </w:r>
      <w:r>
        <w:rPr>
          <w:rFonts w:ascii="Times New Roman;sans-serif" w:hAnsi="Times New Roman;sans-serif"/>
          <w:b w:val="false"/>
          <w:color w:val="595959"/>
          <w:sz w:val="18"/>
        </w:rPr>
        <w:t xml:space="preserve">paid to Shell plc shareholders were $8.4 billion in the twelve months ended December 31, 2023, compared with $7.4 billion in the twelve months ended December 31, 2022. </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38</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595959"/>
          <w:sz w:val="20"/>
        </w:rPr>
      </w:pPr>
      <w:r>
        <w:rPr>
          <w:rFonts w:ascii="Times New Roman;sans-serif" w:hAnsi="Times New Roman;sans-serif"/>
          <w:b/>
          <w:color w:val="595959"/>
          <w:sz w:val="20"/>
        </w:rPr>
        <w:t>CAPITALISATION AND INDEBTEDNESS</w:t>
      </w:r>
    </w:p>
    <w:p>
      <w:pPr>
        <w:pStyle w:val="TextBody"/>
        <w:bidi w:val="0"/>
        <w:spacing w:lineRule="auto" w:line="288" w:before="0" w:after="120"/>
        <w:jc w:val="left"/>
        <w:rPr>
          <w:rFonts w:ascii="Times New Roman;sans-serif" w:hAnsi="Times New Roman;sans-serif"/>
          <w:b w:val="false"/>
          <w:color w:val="595959"/>
          <w:sz w:val="18"/>
        </w:rPr>
      </w:pPr>
      <w:r>
        <w:rPr>
          <w:rFonts w:ascii="Times New Roman;sans-serif" w:hAnsi="Times New Roman;sans-serif"/>
          <w:b w:val="false"/>
          <w:color w:val="595959"/>
          <w:sz w:val="18"/>
        </w:rPr>
        <w:t>The following table sets out the unaudited consolidated combined capitalisation and indebtedness of Shell at December 31, 2023. This information is derived from the Unaudited Condensed Consolidated Financial Statements.</w:t>
      </w:r>
    </w:p>
    <w:tbl>
      <w:tblPr>
        <w:tblW w:w="5188" w:type="dxa"/>
        <w:jc w:val="left"/>
        <w:tblInd w:w="0" w:type="dxa"/>
        <w:tblLayout w:type="fixed"/>
        <w:tblCellMar>
          <w:top w:w="28" w:type="dxa"/>
          <w:left w:w="28" w:type="dxa"/>
          <w:bottom w:w="28" w:type="dxa"/>
          <w:right w:w="28" w:type="dxa"/>
        </w:tblCellMar>
      </w:tblPr>
      <w:tblGrid>
        <w:gridCol w:w="1320"/>
        <w:gridCol w:w="1161"/>
        <w:gridCol w:w="1163"/>
        <w:gridCol w:w="450"/>
        <w:gridCol w:w="450"/>
        <w:gridCol w:w="644"/>
      </w:tblGrid>
      <w:tr>
        <w:trPr/>
        <w:tc>
          <w:tcPr>
            <w:tcW w:w="13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595959"/>
                <w:sz w:val="18"/>
              </w:rPr>
            </w:pPr>
            <w:r>
              <w:rPr>
                <w:rFonts w:ascii="Times New Roman;sans-serif" w:hAnsi="Times New Roman;sans-serif"/>
                <w:b/>
                <w:color w:val="595959"/>
                <w:sz w:val="18"/>
              </w:rPr>
              <w:t>CAPITALISATION AND INDEBTEDNESS</w:t>
            </w:r>
          </w:p>
        </w:tc>
        <w:tc>
          <w:tcPr>
            <w:tcW w:w="154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595959"/>
                <w:sz w:val="18"/>
              </w:rPr>
            </w:pPr>
            <w:r>
              <w:rPr>
                <w:rFonts w:ascii="Times New Roman;sans-serif" w:hAnsi="Times New Roman;sans-serif"/>
                <w:b w:val="false"/>
                <w:color w:val="595959"/>
                <w:sz w:val="18"/>
              </w:rPr>
              <w:t>$ million</w:t>
            </w:r>
          </w:p>
        </w:tc>
      </w:tr>
      <w:tr>
        <w:trPr/>
        <w:tc>
          <w:tcPr>
            <w:tcW w:w="364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595959"/>
                <w:sz w:val="18"/>
              </w:rPr>
            </w:pPr>
            <w:r>
              <w:rPr>
                <w:rFonts w:ascii="Times New Roman;sans-serif" w:hAnsi="Times New Roman;sans-serif"/>
                <w:b w:val="false"/>
                <w:color w:val="595959"/>
                <w:sz w:val="18"/>
              </w:rPr>
              <w:t>December 31, 2023</w:t>
            </w:r>
          </w:p>
        </w:tc>
      </w:tr>
      <w:tr>
        <w:trPr/>
        <w:tc>
          <w:tcPr>
            <w:tcW w:w="364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595959"/>
                <w:sz w:val="18"/>
              </w:rPr>
            </w:pPr>
            <w:r>
              <w:rPr>
                <w:rFonts w:ascii="Times New Roman;sans-serif" w:hAnsi="Times New Roman;sans-serif"/>
                <w:b/>
                <w:color w:val="595959"/>
                <w:sz w:val="18"/>
              </w:rPr>
              <w:t>Equity attributable to Shell plc shareholders</w:t>
            </w:r>
          </w:p>
        </w:tc>
        <w:tc>
          <w:tcPr>
            <w:tcW w:w="900" w:type="dxa"/>
            <w:gridSpan w:val="2"/>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595959"/>
                <w:sz w:val="18"/>
              </w:rPr>
              <w:t>186,606</w:t>
            </w:r>
            <w:r>
              <w:rPr>
                <w:color w:val="595959"/>
              </w:rPr>
              <w:t> </w:t>
            </w:r>
          </w:p>
        </w:tc>
        <w:tc>
          <w:tcPr>
            <w:tcW w:w="64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595959"/>
                <w:sz w:val="18"/>
              </w:rPr>
            </w:pPr>
            <w:r>
              <w:rPr>
                <w:rFonts w:ascii="Times New Roman;sans-serif" w:hAnsi="Times New Roman;sans-serif"/>
                <w:b w:val="false"/>
                <w:color w:val="595959"/>
                <w:sz w:val="18"/>
              </w:rPr>
              <w:t>Current debt</w:t>
            </w:r>
          </w:p>
        </w:tc>
        <w:tc>
          <w:tcPr>
            <w:tcW w:w="900" w:type="dxa"/>
            <w:gridSpan w:val="2"/>
            <w:tcBorders>
              <w:left w:val="single" w:sz="2" w:space="0" w:color="000000"/>
            </w:tcBorders>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595959"/>
                <w:sz w:val="18"/>
              </w:rPr>
            </w:pPr>
            <w:r>
              <w:rPr>
                <w:rFonts w:ascii="Times New Roman;sans-serif" w:hAnsi="Times New Roman;sans-serif"/>
                <w:b w:val="false"/>
                <w:color w:val="595959"/>
                <w:sz w:val="18"/>
              </w:rPr>
              <w:t>9,931 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595959"/>
                <w:sz w:val="18"/>
              </w:rPr>
            </w:pPr>
            <w:r>
              <w:rPr>
                <w:rFonts w:ascii="Times New Roman;sans-serif" w:hAnsi="Times New Roman;sans-serif"/>
                <w:b w:val="false"/>
                <w:color w:val="595959"/>
                <w:sz w:val="18"/>
              </w:rPr>
              <w:t>Non-current debt</w:t>
            </w:r>
          </w:p>
        </w:tc>
        <w:tc>
          <w:tcPr>
            <w:tcW w:w="900" w:type="dxa"/>
            <w:gridSpan w:val="2"/>
            <w:tcBorders>
              <w:left w:val="single" w:sz="2" w:space="0" w:color="000000"/>
            </w:tcBorders>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595959"/>
                <w:sz w:val="18"/>
              </w:rPr>
            </w:pPr>
            <w:r>
              <w:rPr>
                <w:rFonts w:ascii="Times New Roman;sans-serif" w:hAnsi="Times New Roman;sans-serif"/>
                <w:b w:val="false"/>
                <w:color w:val="595959"/>
                <w:sz w:val="18"/>
              </w:rPr>
              <w:t>71,610 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595959"/>
                <w:sz w:val="18"/>
              </w:rPr>
            </w:pPr>
            <w:r>
              <w:rPr>
                <w:rFonts w:ascii="Times New Roman;sans-serif" w:hAnsi="Times New Roman;sans-serif"/>
                <w:b/>
                <w:color w:val="595959"/>
                <w:sz w:val="18"/>
              </w:rPr>
              <w:t>Total debt[A]</w:t>
            </w:r>
          </w:p>
        </w:tc>
        <w:tc>
          <w:tcPr>
            <w:tcW w:w="900" w:type="dxa"/>
            <w:gridSpan w:val="2"/>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595959"/>
                <w:sz w:val="18"/>
              </w:rPr>
              <w:t>81,541</w:t>
            </w:r>
            <w:r>
              <w:rPr>
                <w:color w:val="595959"/>
              </w:rPr>
              <w:t> </w:t>
            </w:r>
          </w:p>
        </w:tc>
        <w:tc>
          <w:tcPr>
            <w:tcW w:w="64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595959"/>
                <w:sz w:val="18"/>
              </w:rPr>
            </w:pPr>
            <w:r>
              <w:rPr>
                <w:rFonts w:ascii="Times New Roman;sans-serif" w:hAnsi="Times New Roman;sans-serif"/>
                <w:b/>
                <w:color w:val="595959"/>
                <w:sz w:val="18"/>
              </w:rPr>
              <w:t>Total capitalisation</w:t>
            </w:r>
          </w:p>
        </w:tc>
        <w:tc>
          <w:tcPr>
            <w:tcW w:w="900" w:type="dxa"/>
            <w:gridSpan w:val="2"/>
            <w:tcBorders>
              <w:left w:val="single" w:sz="2" w:space="0" w:color="000000"/>
              <w:bottom w:val="single" w:sz="2" w:space="0" w:color="000000"/>
            </w:tcBorders>
            <w:tcMar>
              <w:top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595959"/>
                <w:sz w:val="18"/>
              </w:rPr>
              <w:t>268,147</w:t>
            </w:r>
            <w:r>
              <w:rPr>
                <w:color w:val="595959"/>
              </w:rPr>
              <w:t> </w:t>
            </w:r>
          </w:p>
        </w:tc>
        <w:tc>
          <w:tcPr>
            <w:tcW w:w="644"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ans-serif" w:hAnsi="Times New Roman;sans-serif"/>
          <w:b w:val="false"/>
          <w:color w:val="595959"/>
          <w:sz w:val="18"/>
        </w:rPr>
        <w:t>[A] Of the total carrying amount of debt at December 31, 2023, $53.4 billion was unsecured, $28.2 billion was secured</w:t>
      </w:r>
      <w:r>
        <w:rPr>
          <w:color w:val="FF0000"/>
        </w:rPr>
        <w:t xml:space="preserve"> </w:t>
      </w:r>
      <w:r>
        <w:rPr>
          <w:rFonts w:ascii="Times New Roman;sans-serif" w:hAnsi="Times New Roman;sans-serif"/>
          <w:b w:val="false"/>
          <w:color w:val="595959"/>
          <w:sz w:val="18"/>
        </w:rPr>
        <w:t>and $48.4 billion was issued by Shell International Finance B.V.,</w:t>
      </w:r>
      <w:r>
        <w:rPr>
          <w:color w:val="595959"/>
          <w:shd w:fill="FFFFFF" w:val="clear"/>
        </w:rPr>
        <w:t xml:space="preserve"> </w:t>
      </w:r>
      <w:r>
        <w:rPr>
          <w:rFonts w:ascii="Times New Roman;sans-serif" w:hAnsi="Times New Roman;sans-serif"/>
          <w:b w:val="false"/>
          <w:color w:val="595959"/>
          <w:sz w:val="18"/>
          <w:shd w:fill="FFFFFF" w:val="clear"/>
        </w:rPr>
        <w:t>a 100%-</w:t>
      </w:r>
      <w:r>
        <w:rPr>
          <w:rFonts w:ascii="Times New Roman;sans-serif" w:hAnsi="Times New Roman;sans-serif"/>
          <w:b w:val="false"/>
          <w:color w:val="595959"/>
          <w:sz w:val="18"/>
        </w:rPr>
        <w:t>owned subsidiary of Shell plc with its debt guaranteed by Shell plc (December 31, 2022: $51.0 billion).</w:t>
      </w:r>
    </w:p>
    <w:p>
      <w:pPr>
        <w:pStyle w:val="TextBody"/>
        <w:bidi w:val="0"/>
        <w:spacing w:before="0" w:after="1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ACACAC"/>
                          <w:sz w:val="20"/>
                        </w:rPr>
                      </w:pPr>
                      <w:r>
                        <w:rPr>
                          <w:rFonts w:ascii="Times New Roman;sans-serif" w:hAnsi="Times New Roman;sans-serif"/>
                          <w:b w:val="false"/>
                          <w:color w:val="ACACAC"/>
                          <w:sz w:val="20"/>
                        </w:rPr>
                        <w:t>Shell plc            Unaudited Condensed Financial Report            39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16314</Words>
  <Characters>91680</Characters>
  <CharactersWithSpaces>107025</CharactersWithSpaces>
  <Paragraphs>3883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