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226.htm"/>
      <w:bookmarkStart w:id="1" w:name="ksf6k_0902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September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 xml:space="preserve">Shell completes acquisition of ARC Resources </w:t>
      </w:r>
    </w:p>
    <w:p>
      <w:pPr>
        <w:pStyle w:val="TextBody"/>
        <w:bidi w:val="0"/>
        <w:spacing w:before="0" w:after="283"/>
        <w:jc w:val="left"/>
        <w:rPr/>
      </w:pPr>
      <w:r>
        <w:rPr>
          <w:b/>
        </w:rPr>
        <w:t>Calgary, September 2, 2026</w:t>
      </w:r>
      <w:r>
        <w:rPr/>
        <w:t xml:space="preserve"> − Shell plc has completed the previously announced agreement (the “Arrangement Agreement”) to acquire ARC Resources Ltd. (“ARC”) (TSX: ARX), an energy company focused in British Columbia and Alberta, Canada, following receipt of all required shareholder, court and regulatory approvals. The acquisition accelerates Shell's strategy by adding approximately 370 kboe/d immediately across liquids and gas, supporting a production compound annual growth rate (CAGR) of around 4% through to 2030 compared with 2025. </w:t>
      </w:r>
    </w:p>
    <w:p>
      <w:pPr>
        <w:pStyle w:val="TextBody"/>
        <w:bidi w:val="0"/>
        <w:spacing w:before="0" w:after="283"/>
        <w:jc w:val="left"/>
        <w:rPr/>
      </w:pPr>
      <w:r>
        <w:rPr/>
        <w:t>“</w:t>
      </w:r>
      <w:r>
        <w:rPr/>
        <w:t xml:space="preserve">Today we welcome ARC colleagues to Shell and look forward to building on their high-performance culture, operational excellence and technical expertise in Canada’s Montney basin,” said Shell’s Chief Executive Officer, Wael Sawan. “The acquisition increases Shell's exposure to long-duration, low-cost liquids production. Through disciplined integration, we will build on the strengths of both organizations to unlock the value that underpins this transaction.” </w:t>
      </w:r>
    </w:p>
    <w:p>
      <w:pPr>
        <w:pStyle w:val="TextBody"/>
        <w:bidi w:val="0"/>
        <w:spacing w:before="0" w:after="283"/>
        <w:jc w:val="left"/>
        <w:rPr/>
      </w:pPr>
      <w:r>
        <w:rPr/>
        <w:t xml:space="preserve">In accordance with terms of the Arrangement Agreement, ARC’s shareholders will receive CAD $8.20 in cash and 0.40247 ordinary shares of Shell plc (each whole share, a “Shell Share”) for each ARC common share (each, an “ARC Share”). </w:t>
      </w:r>
    </w:p>
    <w:p>
      <w:pPr>
        <w:pStyle w:val="TextBody"/>
        <w:bidi w:val="0"/>
        <w:spacing w:before="0" w:after="283"/>
        <w:jc w:val="left"/>
        <w:rPr/>
      </w:pPr>
      <w:r>
        <w:rPr/>
        <w:t xml:space="preserve">Based on Shell’s closing share price of GBP £34.43 on September 2, 2026, and latest FX rates, this equates to an updated equity value of approximately US$13.9 billion. Shell will take on approximately US$2.5 billion in net debt and leases resulting in an enterprise value of approximately US$16.5 billion. The equity value of US$13.9 billion will be funded via US$3.3 billion in cash and US$10.6 billion in new Shell shares. </w:t>
      </w:r>
    </w:p>
    <w:p>
      <w:pPr>
        <w:pStyle w:val="TextBody"/>
        <w:bidi w:val="0"/>
        <w:spacing w:before="0" w:after="283"/>
        <w:jc w:val="left"/>
        <w:rPr/>
      </w:pPr>
      <w:r>
        <w:rPr/>
        <w:t>The transaction is expected to generate double-digit returns, bolster long-term cash flows and be accretive to free cash flow share from 2027 onwards.</w:t>
      </w:r>
    </w:p>
    <w:tbl>
      <w:tblPr>
        <w:tblW w:w="206" w:type="dxa"/>
        <w:jc w:val="left"/>
        <w:tblInd w:w="0" w:type="dxa"/>
        <w:tblLayout w:type="fixed"/>
        <w:tblCellMar>
          <w:top w:w="0" w:type="dxa"/>
          <w:left w:w="0" w:type="dxa"/>
          <w:bottom w:w="28" w:type="dxa"/>
          <w:right w:w="0" w:type="dxa"/>
        </w:tblCellMar>
      </w:tblPr>
      <w:tblGrid>
        <w:gridCol w:w="206"/>
      </w:tblGrid>
      <w:tr>
        <w:trPr/>
        <w:tc>
          <w:tcPr>
            <w:tcW w:w="206"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br/>
        <w:t> </w:t>
      </w:r>
      <w:r>
        <w:rPr>
          <w:b/>
        </w:rPr>
        <w:t>Notes to editors</w:t>
      </w:r>
      <w:r>
        <w:rPr/>
        <w:t> </w:t>
      </w:r>
    </w:p>
    <w:p>
      <w:pPr>
        <w:pStyle w:val="TextBody"/>
        <w:numPr>
          <w:ilvl w:val="0"/>
          <w:numId w:val="2"/>
        </w:numPr>
        <w:tabs>
          <w:tab w:val="clear" w:pos="1134"/>
          <w:tab w:val="left" w:pos="709" w:leader="none"/>
        </w:tabs>
        <w:bidi w:val="0"/>
        <w:spacing w:before="0" w:after="0"/>
        <w:ind w:left="709" w:hanging="283"/>
        <w:jc w:val="left"/>
        <w:rPr/>
      </w:pPr>
      <w:r>
        <w:rPr/>
        <w:t xml:space="preserve">As defined in the Arrangement Agreement, the effective date of the transaction is September 2, 2026 (the “Effective Date”). </w:t>
      </w:r>
    </w:p>
    <w:p>
      <w:pPr>
        <w:pStyle w:val="TextBody"/>
        <w:numPr>
          <w:ilvl w:val="0"/>
          <w:numId w:val="2"/>
        </w:numPr>
        <w:tabs>
          <w:tab w:val="clear" w:pos="1134"/>
          <w:tab w:val="left" w:pos="709" w:leader="none"/>
        </w:tabs>
        <w:bidi w:val="0"/>
        <w:spacing w:before="0" w:after="0"/>
        <w:ind w:left="709" w:hanging="283"/>
        <w:jc w:val="left"/>
        <w:rPr/>
      </w:pPr>
      <w:r>
        <w:rPr/>
        <w:t xml:space="preserve">The process for delivery of Shell Shares in exchange for ARC Shares is anticipated to be completed several days following the Effective Date of the transaction. </w:t>
      </w:r>
    </w:p>
    <w:p>
      <w:pPr>
        <w:pStyle w:val="TextBody"/>
        <w:numPr>
          <w:ilvl w:val="0"/>
          <w:numId w:val="2"/>
        </w:numPr>
        <w:tabs>
          <w:tab w:val="clear" w:pos="1134"/>
          <w:tab w:val="left" w:pos="709" w:leader="none"/>
        </w:tabs>
        <w:bidi w:val="0"/>
        <w:spacing w:before="0" w:after="0"/>
        <w:ind w:left="709" w:hanging="283"/>
        <w:jc w:val="left"/>
        <w:rPr/>
      </w:pPr>
      <w:r>
        <w:rPr/>
        <w:t xml:space="preserve">More information can be found at Information for shareholders | Shell Global </w:t>
      </w:r>
    </w:p>
    <w:p>
      <w:pPr>
        <w:pStyle w:val="TextBody"/>
        <w:numPr>
          <w:ilvl w:val="0"/>
          <w:numId w:val="2"/>
        </w:numPr>
        <w:tabs>
          <w:tab w:val="clear" w:pos="1134"/>
          <w:tab w:val="left" w:pos="709" w:leader="none"/>
        </w:tabs>
        <w:bidi w:val="0"/>
        <w:spacing w:before="0" w:after="0"/>
        <w:ind w:left="709" w:hanging="283"/>
        <w:jc w:val="left"/>
        <w:rPr/>
      </w:pPr>
      <w:r>
        <w:rPr/>
        <w:t xml:space="preserve">The acquisition grows Shell’s producing interests in Canada and complements its existing LNG footprint and extensive downstream businesses including refining, chemicals, fuel retail, aviation, lubricants and low-carbon solutions. </w:t>
      </w:r>
    </w:p>
    <w:p>
      <w:pPr>
        <w:pStyle w:val="TextBody"/>
        <w:numPr>
          <w:ilvl w:val="0"/>
          <w:numId w:val="2"/>
        </w:numPr>
        <w:tabs>
          <w:tab w:val="clear" w:pos="1134"/>
          <w:tab w:val="left" w:pos="709" w:leader="none"/>
        </w:tabs>
        <w:bidi w:val="0"/>
        <w:spacing w:before="0" w:after="0"/>
        <w:ind w:left="709" w:hanging="283"/>
        <w:jc w:val="left"/>
        <w:rPr/>
      </w:pPr>
      <w:r>
        <w:rPr/>
        <w:t xml:space="preserve">In connection with the Arrangement Agreement, Shell obtained an exemption order from the Alberta Securities Commission, as principal regulator on behalf of the securities regulatory authority or regulator in each of the provinces of Canada other than Ontario, and the Ontario Securities Commission, providing relief from the formal issuer bid requirements of National Instrument 62-104 </w:t>
      </w:r>
      <w:r>
        <w:rPr>
          <w:i/>
        </w:rPr>
        <w:t>Take-Over Bids</w:t>
      </w:r>
      <w:r>
        <w:rPr/>
        <w:t xml:space="preserve"> and </w:t>
      </w:r>
      <w:r>
        <w:rPr>
          <w:i/>
        </w:rPr>
        <w:t>Issuer Bids</w:t>
      </w:r>
      <w:r>
        <w:rPr/>
        <w:t xml:space="preserve"> in connection with purchases by Shell of the outstanding Shell Shares through marketplaces outside of Canada (the “Canadian Exemption”), which applies so long as the Shell Shares are not listed or posted for trading on any stock exchange or marketplace in Canada, and residents of Canada do not beneficially own more than 10% of the total number of issued and outstanding Shell Shares. The Canadian Exemption is also subject to the following conditions: the share buybacks under its issuer bid programs are carried out under applicable securities laws in the United Kingdom, the Netherlands and the European Union, as well as the trading rules of the applicable exchanges and markets; and the aggregate number of Shell Shares acquired by Shell within any period of 12 months does not exceed 10% of the outstanding Shell Shares, excluding treasury shares. </w:t>
      </w:r>
    </w:p>
    <w:p>
      <w:pPr>
        <w:pStyle w:val="TextBody"/>
        <w:numPr>
          <w:ilvl w:val="0"/>
          <w:numId w:val="2"/>
        </w:numPr>
        <w:tabs>
          <w:tab w:val="clear" w:pos="1134"/>
          <w:tab w:val="left" w:pos="709" w:leader="none"/>
        </w:tabs>
        <w:bidi w:val="0"/>
        <w:spacing w:before="0" w:after="0"/>
        <w:ind w:left="709" w:hanging="283"/>
        <w:jc w:val="left"/>
        <w:rPr/>
      </w:pPr>
      <w:r>
        <w:rPr/>
        <w:t xml:space="preserve">Measurement of acquired assets and liabilities for accounting purposes will be subject to a purchase price allocation exercise following completion. </w:t>
      </w:r>
    </w:p>
    <w:p>
      <w:pPr>
        <w:pStyle w:val="TextBody"/>
        <w:numPr>
          <w:ilvl w:val="0"/>
          <w:numId w:val="2"/>
        </w:numPr>
        <w:tabs>
          <w:tab w:val="clear" w:pos="1134"/>
          <w:tab w:val="left" w:pos="709" w:leader="none"/>
        </w:tabs>
        <w:bidi w:val="0"/>
        <w:ind w:left="709" w:hanging="283"/>
        <w:jc w:val="left"/>
        <w:rPr/>
      </w:pPr>
      <w:r>
        <w:rPr/>
        <w:t>Equity value and net debt do not sum to enterprise value due to rounding.</w:t>
      </w:r>
    </w:p>
    <w:p>
      <w:pPr>
        <w:pStyle w:val="TextBody"/>
        <w:bidi w:val="0"/>
        <w:spacing w:before="0" w:after="283"/>
        <w:jc w:val="left"/>
        <w:rPr/>
      </w:pPr>
      <w:r>
        <w:rPr>
          <w:b/>
        </w:rPr>
        <w:t>Enquiries</w:t>
      </w:r>
      <w:r>
        <w:rPr/>
        <w:t> </w:t>
        <w:br/>
        <w:t>UK / International Media Relations: +44 20 7934 5550</w:t>
      </w:r>
    </w:p>
    <w:p>
      <w:pPr>
        <w:pStyle w:val="TextBody"/>
        <w:bidi w:val="0"/>
        <w:spacing w:before="0" w:after="283"/>
        <w:jc w:val="left"/>
        <w:rPr/>
      </w:pPr>
      <w:r>
        <w:rPr/>
        <w:t>Americas Media Relations: Contact Shell US Media Team </w:t>
      </w:r>
    </w:p>
    <w:p>
      <w:pPr>
        <w:pStyle w:val="TextBody"/>
        <w:bidi w:val="0"/>
        <w:jc w:val="both"/>
        <w:rPr>
          <w:b/>
        </w:rPr>
      </w:pPr>
      <w:r>
        <w:rPr>
          <w:b/>
        </w:rPr>
        <w:t>Cautionary Note</w:t>
      </w:r>
    </w:p>
    <w:p>
      <w:pPr>
        <w:pStyle w:val="TextBody"/>
        <w:bidi w:val="0"/>
        <w:jc w:val="both"/>
        <w:rPr/>
      </w:pPr>
      <w:r>
        <w:rPr/>
        <w:t xml:space="preserve">The companies in which Shell plc directly and indirectly owns investments are separate legal entities. In this news release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news release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 </w:t>
      </w:r>
    </w:p>
    <w:p>
      <w:pPr>
        <w:pStyle w:val="TextBody"/>
        <w:bidi w:val="0"/>
        <w:jc w:val="both"/>
        <w:rPr/>
      </w:pPr>
      <w:r>
        <w:rPr>
          <w:b/>
          <w:u w:val="single"/>
        </w:rPr>
        <w:t>Forward-Looking statements</w:t>
      </w:r>
      <w:r>
        <w:rPr/>
        <w:br/>
        <w:t>This news release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news release,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news release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news release and should be considered by the reader.  Each forward-looking statement speaks only as of the date of this news release, September 2,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news release.</w:t>
      </w:r>
    </w:p>
    <w:p>
      <w:pPr>
        <w:pStyle w:val="TextBody"/>
        <w:bidi w:val="0"/>
        <w:jc w:val="both"/>
        <w:rPr/>
      </w:pPr>
      <w:r>
        <w:rPr>
          <w:b/>
          <w:u w:val="single"/>
        </w:rPr>
        <w:t>Shell’s net carbon intensity</w:t>
      </w:r>
      <w:r>
        <w:rPr/>
        <w:br/>
        <w:t>Also, in this news release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pStyle w:val="TextBody"/>
        <w:bidi w:val="0"/>
        <w:jc w:val="both"/>
        <w:rPr/>
      </w:pPr>
      <w:r>
        <w:rPr>
          <w:b/>
          <w:u w:val="single"/>
        </w:rPr>
        <w:t>Shell’s net-zero emissions target</w:t>
      </w:r>
      <w:r>
        <w:rPr/>
        <w:br/>
        <w:t xml:space="preserve">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 </w:t>
      </w:r>
    </w:p>
    <w:p>
      <w:pPr>
        <w:pStyle w:val="TextBody"/>
        <w:bidi w:val="0"/>
        <w:jc w:val="both"/>
        <w:rPr/>
      </w:pPr>
      <w:r>
        <w:rPr>
          <w:b/>
          <w:u w:val="single"/>
        </w:rPr>
        <w:t>Forward-Looking non-GAAP measures</w:t>
      </w:r>
      <w:r>
        <w:rPr/>
        <w:br/>
        <w:t>This news release may contain certain forward-looking non-GAAP measures such as free cash flow, net debt and enterprise value.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jc w:val="both"/>
        <w:rPr/>
      </w:pPr>
      <w:r>
        <w:rPr/>
        <w:t>The contents of websites referred to in this news release do not form part of this news release.</w:t>
      </w:r>
    </w:p>
    <w:p>
      <w:pPr>
        <w:pStyle w:val="TextBody"/>
        <w:bidi w:val="0"/>
        <w:jc w:val="both"/>
        <w:rPr/>
      </w:pPr>
      <w:r>
        <w:rPr/>
        <w:t>We may have used certain terms, such as resources, in this news release that the United States Securities and Exchange Commission (SEC) strictly prohibits us from including in our filings with the SEC.  Investors are urged to consider closely the disclosure in our Form 20-F, File No 1-32575, available on the SEC website www.sec.gov.</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2039</Words>
  <Characters>11734</Characters>
  <CharactersWithSpaces>13792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