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99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1320" w:right="196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ISSUER PURSUANT TO RULE 13a-16 OR 15d-16 UNDER THE SECURITIES EXCHANGE ACT OF 1934</w:t>
      </w:r>
    </w:p>
    <w:p>
      <w:pPr>
        <w:spacing w:after="0" w:line="16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22"/>
          <w:szCs w:val="22"/>
          <w:b w:val="1"/>
          <w:bCs w:val="1"/>
          <w:color w:val="auto"/>
        </w:rPr>
        <w:t>For the month of June 2025</w:t>
      </w:r>
    </w:p>
    <w:p>
      <w:pPr>
        <w:spacing w:after="0" w:line="206"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b w:val="1"/>
          <w:bCs w:val="1"/>
          <w:color w:val="auto"/>
        </w:rPr>
        <w:t>Commission File Number: 1-32575</w:t>
      </w:r>
    </w:p>
    <w:p>
      <w:pPr>
        <w:spacing w:after="0" w:line="199"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9"/>
          <w:szCs w:val="29"/>
          <w:b w:val="1"/>
          <w:bCs w:val="1"/>
          <w:color w:val="auto"/>
        </w:rPr>
        <w:t>Shell plc</w:t>
      </w:r>
    </w:p>
    <w:p>
      <w:pPr>
        <w:spacing w:after="0" w:line="39"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178" w:lineRule="exact"/>
        <w:rPr>
          <w:sz w:val="24"/>
          <w:szCs w:val="24"/>
          <w:color w:val="auto"/>
        </w:rPr>
      </w:pPr>
    </w:p>
    <w:p>
      <w:pPr>
        <w:ind w:left="4720"/>
        <w:spacing w:after="0"/>
        <w:rPr>
          <w:sz w:val="20"/>
          <w:szCs w:val="20"/>
          <w:color w:val="auto"/>
        </w:rPr>
      </w:pPr>
      <w:r>
        <w:rPr>
          <w:rFonts w:ascii="Times New Roman" w:cs="Times New Roman" w:eastAsia="Times New Roman" w:hAnsi="Times New Roman"/>
          <w:sz w:val="22"/>
          <w:szCs w:val="22"/>
          <w:b w:val="1"/>
          <w:bCs w:val="1"/>
          <w:color w:val="auto"/>
        </w:rPr>
        <w:t>England and Wales</w:t>
      </w:r>
    </w:p>
    <w:p>
      <w:pPr>
        <w:spacing w:after="0" w:line="18" w:lineRule="exact"/>
        <w:rPr>
          <w:sz w:val="24"/>
          <w:szCs w:val="24"/>
          <w:color w:val="auto"/>
        </w:rPr>
      </w:pPr>
    </w:p>
    <w:p>
      <w:pPr>
        <w:ind w:left="3620"/>
        <w:spacing w:after="0"/>
        <w:rPr>
          <w:sz w:val="20"/>
          <w:szCs w:val="20"/>
          <w:color w:val="auto"/>
        </w:rPr>
      </w:pPr>
      <w:r>
        <w:rPr>
          <w:rFonts w:ascii="Times New Roman" w:cs="Times New Roman" w:eastAsia="Times New Roman" w:hAnsi="Times New Roman"/>
          <w:sz w:val="22"/>
          <w:szCs w:val="22"/>
          <w:color w:val="auto"/>
        </w:rPr>
        <w:t>(Jurisdiction of incorporation or organization)</w:t>
      </w:r>
    </w:p>
    <w:p>
      <w:pPr>
        <w:spacing w:after="0" w:line="178"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22"/>
          <w:szCs w:val="22"/>
          <w:b w:val="1"/>
          <w:bCs w:val="1"/>
          <w:color w:val="auto"/>
        </w:rPr>
        <w:t>Shell Centre</w:t>
      </w:r>
    </w:p>
    <w:p>
      <w:pPr>
        <w:spacing w:after="0" w:line="8"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color w:val="auto"/>
        </w:rPr>
        <w:t>London, SE1 7NA</w:t>
      </w:r>
    </w:p>
    <w:p>
      <w:pPr>
        <w:jc w:val="center"/>
        <w:ind w:right="-1059"/>
        <w:spacing w:after="0" w:line="230" w:lineRule="auto"/>
        <w:rPr>
          <w:sz w:val="20"/>
          <w:szCs w:val="20"/>
          <w:color w:val="auto"/>
        </w:rPr>
      </w:pPr>
      <w:r>
        <w:rPr>
          <w:rFonts w:ascii="Times New Roman" w:cs="Times New Roman" w:eastAsia="Times New Roman" w:hAnsi="Times New Roman"/>
          <w:sz w:val="22"/>
          <w:szCs w:val="22"/>
          <w:b w:val="1"/>
          <w:bCs w:val="1"/>
          <w:color w:val="auto"/>
        </w:rPr>
        <w:t>United Kingdom</w:t>
      </w:r>
    </w:p>
    <w:p>
      <w:pPr>
        <w:spacing w:after="0" w:line="1" w:lineRule="exact"/>
        <w:rPr>
          <w:sz w:val="24"/>
          <w:szCs w:val="24"/>
          <w:color w:val="auto"/>
        </w:rPr>
      </w:pPr>
    </w:p>
    <w:p>
      <w:pPr>
        <w:jc w:val="center"/>
        <w:ind w:right="-10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78"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________________________________</w:t>
      </w:r>
    </w:p>
    <w:p>
      <w:pPr>
        <w:spacing w:after="0" w:line="210"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Indicate by check mark whether the registrant files or will file annual reports under cover of Form 20-F or Form 40-F.</w:t>
      </w:r>
    </w:p>
    <w:p>
      <w:pPr>
        <w:spacing w:after="0" w:line="218" w:lineRule="exact"/>
        <w:rPr>
          <w:sz w:val="24"/>
          <w:szCs w:val="24"/>
          <w:color w:val="auto"/>
        </w:rPr>
      </w:pPr>
    </w:p>
    <w:p>
      <w:pPr>
        <w:ind w:left="4120"/>
        <w:spacing w:after="0"/>
        <w:tabs>
          <w:tab w:leader="none" w:pos="5820" w:val="left"/>
          <w:tab w:leader="none" w:pos="7040" w:val="left"/>
        </w:tabs>
        <w:rPr>
          <w:sz w:val="20"/>
          <w:szCs w:val="20"/>
          <w:color w:val="auto"/>
        </w:rPr>
      </w:pPr>
      <w:r>
        <w:rPr>
          <w:rFonts w:ascii="Times New Roman" w:cs="Times New Roman" w:eastAsia="Times New Roman" w:hAnsi="Times New Roman"/>
          <w:sz w:val="22"/>
          <w:szCs w:val="22"/>
          <w:color w:val="auto"/>
        </w:rPr>
        <w:t>Form 20-F [ X ]</w:t>
      </w:r>
      <w:r>
        <w:rPr>
          <w:sz w:val="20"/>
          <w:szCs w:val="20"/>
          <w:color w:val="auto"/>
        </w:rPr>
        <w:tab/>
      </w:r>
      <w:r>
        <w:rPr>
          <w:rFonts w:ascii="Times New Roman" w:cs="Times New Roman" w:eastAsia="Times New Roman" w:hAnsi="Times New Roman"/>
          <w:sz w:val="22"/>
          <w:szCs w:val="22"/>
          <w:color w:val="auto"/>
        </w:rPr>
        <w:t>Form 40-F [</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13613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200"/>
          </w:cols>
          <w:pgMar w:left="320" w:top="543" w:right="1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Shell plc (“Shell”) statement re BP plc (“BP”)</w:t>
      </w:r>
    </w:p>
    <w:p>
      <w:pPr>
        <w:spacing w:after="0" w:line="21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NOT FOR RELEASE, PUBLICATION OR DISTRIBUTION, IN WHOLE OR IN PART, IN, INTO OR FROM ANY JURISDICTION WHERE TO DO SO WOULD CONSTITUTE A VIOLATION OF THE RELEVANT LAWS OF THAT JURISDICTION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FOR IMMEDIATE RELEASE</w:t>
      </w:r>
    </w:p>
    <w:p>
      <w:pPr>
        <w:spacing w:after="0" w:line="206"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THIS ANNOUNCEMENT IS AN ANNOUNCEMENT UNDER RULE 2.8 OF THE UK CITY CODE ON TAKEOVERS AND MERGERS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26 June 2025</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Shell plc (“Shell”) statement re BP plc (“BP”)</w:t>
      </w:r>
    </w:p>
    <w:p>
      <w:pPr>
        <w:spacing w:after="0" w:line="2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response to recent media speculation Shell wishes to clarify that it has not been actively considering making an offer for BP and confirms it has not made an approach to, and no talks have taken place with, BP with regards to a possible offer.</w:t>
      </w:r>
    </w:p>
    <w:p>
      <w:pPr>
        <w:spacing w:after="0" w:line="1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This is a statement to which Rule 2.8 of the Code applies and accordingly Shell confirms it has no intention of making an offer for BP. As a result Shell will be bound by the restrictions set out in Rule 2.8 of the Code.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 remain focused on delivering more value with less emissions through performance, discipline and simplification.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Under Note 2 on Rule 2.8 of the Code, Shell reserves the right to set the restrictions in Rule 2.8 aside in the following circumstances: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a. with the agreement of the board of BP;</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b. if a third party announces a firm intention to make an offer for BP;</w:t>
      </w:r>
    </w:p>
    <w:p>
      <w:pPr>
        <w:spacing w:after="0" w:line="125" w:lineRule="exact"/>
        <w:rPr>
          <w:sz w:val="20"/>
          <w:szCs w:val="20"/>
          <w:color w:val="auto"/>
        </w:rPr>
      </w:pPr>
    </w:p>
    <w:p>
      <w:pPr>
        <w:ind w:left="540" w:hanging="202"/>
        <w:spacing w:after="0" w:line="258" w:lineRule="auto"/>
        <w:rPr>
          <w:sz w:val="20"/>
          <w:szCs w:val="20"/>
          <w:color w:val="auto"/>
        </w:rPr>
      </w:pPr>
      <w:r>
        <w:rPr>
          <w:rFonts w:ascii="Times New Roman" w:cs="Times New Roman" w:eastAsia="Times New Roman" w:hAnsi="Times New Roman"/>
          <w:sz w:val="22"/>
          <w:szCs w:val="22"/>
          <w:color w:val="auto"/>
        </w:rPr>
        <w:t>c. if BP announces a Rule 9 waiver (see Note 1 of the Notes on Dispensations from Rule 9) or a reverse takeover (as defined in the Code); and</w:t>
      </w:r>
    </w:p>
    <w:p>
      <w:pPr>
        <w:spacing w:after="0" w:line="9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 if there has been a material change of circumstances (as determined by the Takeover Panel).</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contents of this announcement will be available at www.shell.com.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content of the website referred to in this announcement is not incorporated into and does not form part of this announcement.</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ENQUIRIES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Shell Media Relations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International +44 207 934 5550; U.S. and Canada: Contact form</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LEI number of Shell plc: 21380068P1DRHMJ8KU70</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Classification: Additional regulated information required to be disclosed under the laws of the United Kingdom.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437515</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This Report on Form 6-K is incorporated by reference into:</w:t>
      </w:r>
    </w:p>
    <w:p>
      <w:pPr>
        <w:spacing w:after="0" w:line="225" w:lineRule="exact"/>
        <w:rPr>
          <w:sz w:val="20"/>
          <w:szCs w:val="20"/>
          <w:color w:val="auto"/>
        </w:rPr>
      </w:pPr>
    </w:p>
    <w:p>
      <w:pPr>
        <w:ind w:left="560" w:hanging="498"/>
        <w:spacing w:after="0" w:line="282" w:lineRule="auto"/>
        <w:tabs>
          <w:tab w:leader="none" w:pos="5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on Form F-3 of Shell plc, Shell Finance US Inc. and Shell International Finance B.V. (Registration Numbers 333-276068, 333-276068-01 and 333-276068-02); and</w:t>
      </w:r>
    </w:p>
    <w:p>
      <w:pPr>
        <w:spacing w:after="0" w:line="161" w:lineRule="exact"/>
        <w:rPr>
          <w:rFonts w:ascii="Times New Roman" w:cs="Times New Roman" w:eastAsia="Times New Roman" w:hAnsi="Times New Roman"/>
          <w:sz w:val="18"/>
          <w:szCs w:val="18"/>
          <w:color w:val="auto"/>
        </w:rPr>
      </w:pPr>
    </w:p>
    <w:p>
      <w:pPr>
        <w:ind w:left="580" w:hanging="505"/>
        <w:spacing w:after="0"/>
        <w:tabs>
          <w:tab w:leader="none" w:pos="58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Statements on Form S-8 of Shell plc (Registration Numbers 333-262396 and 333-272192).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700"/>
          </w:cols>
          <w:pgMar w:left="320" w:top="121" w:right="879" w:bottom="1440" w:gutter="0" w:footer="0" w:header="0"/>
        </w:sectPr>
      </w:pPr>
    </w:p>
    <w:bookmarkStart w:id="3" w:name="page4"/>
    <w:bookmarkEnd w:id="3"/>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Shell plc</w:t>
            </w:r>
          </w:p>
        </w:tc>
        <w:tc>
          <w:tcPr>
            <w:tcW w:w="500" w:type="dxa"/>
            <w:vAlign w:val="bottom"/>
            <w:gridSpan w:val="2"/>
          </w:tcPr>
          <w:p>
            <w:pPr>
              <w:spacing w:after="0"/>
              <w:rPr>
                <w:sz w:val="17"/>
                <w:szCs w:val="17"/>
                <w:color w:val="auto"/>
              </w:rPr>
            </w:pPr>
          </w:p>
        </w:tc>
      </w:tr>
      <w:tr>
        <w:trPr>
          <w:trHeight w:val="237"/>
        </w:trPr>
        <w:tc>
          <w:tcPr>
            <w:tcW w:w="4520" w:type="dxa"/>
            <w:vAlign w:val="bottom"/>
          </w:tcPr>
          <w:p>
            <w:pPr>
              <w:spacing w:after="0"/>
              <w:rPr>
                <w:sz w:val="20"/>
                <w:szCs w:val="20"/>
                <w:color w:val="auto"/>
              </w:rPr>
            </w:pPr>
          </w:p>
        </w:tc>
        <w:tc>
          <w:tcPr>
            <w:tcW w:w="3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4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Date: June 26, 2025</w:t>
            </w:r>
          </w:p>
        </w:tc>
        <w:tc>
          <w:tcPr>
            <w:tcW w:w="3380" w:type="dxa"/>
            <w:vAlign w:val="bottom"/>
          </w:tcPr>
          <w:p>
            <w:pPr>
              <w:spacing w:after="0"/>
              <w:rPr>
                <w:sz w:val="24"/>
                <w:szCs w:val="24"/>
                <w:color w:val="auto"/>
              </w:rPr>
            </w:pPr>
          </w:p>
        </w:tc>
        <w:tc>
          <w:tcPr>
            <w:tcW w:w="14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Julie Keefe</w:t>
            </w:r>
          </w:p>
        </w:tc>
        <w:tc>
          <w:tcPr>
            <w:tcW w:w="300" w:type="dxa"/>
            <w:vAlign w:val="bottom"/>
          </w:tcPr>
          <w:p>
            <w:pPr>
              <w:spacing w:after="0"/>
              <w:rPr>
                <w:sz w:val="24"/>
                <w:szCs w:val="24"/>
                <w:color w:val="auto"/>
              </w:rPr>
            </w:pPr>
          </w:p>
        </w:tc>
      </w:tr>
      <w:tr>
        <w:trPr>
          <w:trHeight w:val="218"/>
        </w:trPr>
        <w:tc>
          <w:tcPr>
            <w:tcW w:w="452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color w:val="auto"/>
                <w:w w:val="98"/>
              </w:rPr>
              <w:t>Julie Keefe</w:t>
            </w:r>
          </w:p>
        </w:tc>
      </w:tr>
      <w:tr>
        <w:trPr>
          <w:trHeight w:val="234"/>
        </w:trPr>
        <w:tc>
          <w:tcPr>
            <w:tcW w:w="4520" w:type="dxa"/>
            <w:vAlign w:val="bottom"/>
          </w:tcPr>
          <w:p>
            <w:pPr>
              <w:spacing w:after="0"/>
              <w:rPr>
                <w:sz w:val="20"/>
                <w:szCs w:val="20"/>
                <w:color w:val="auto"/>
              </w:rPr>
            </w:pPr>
          </w:p>
        </w:tc>
        <w:tc>
          <w:tcPr>
            <w:tcW w:w="5080" w:type="dxa"/>
            <w:vAlign w:val="bottom"/>
            <w:gridSpan w:val="5"/>
          </w:tcPr>
          <w:p>
            <w:pPr>
              <w:jc w:val="center"/>
              <w:ind w:left="2990"/>
              <w:spacing w:after="0"/>
              <w:rPr>
                <w:sz w:val="20"/>
                <w:szCs w:val="20"/>
                <w:color w:val="auto"/>
              </w:rPr>
            </w:pPr>
            <w:r>
              <w:rPr>
                <w:rFonts w:ascii="Times New Roman" w:cs="Times New Roman" w:eastAsia="Times New Roman" w:hAnsi="Times New Roman"/>
                <w:sz w:val="18"/>
                <w:szCs w:val="18"/>
                <w:color w:val="auto"/>
                <w:w w:val="99"/>
              </w:rPr>
              <w:t>Deputy Company Secretary</w:t>
            </w:r>
          </w:p>
        </w:tc>
      </w:tr>
    </w:tbl>
    <w:p>
      <w:pPr>
        <w:spacing w:after="0" w:line="1" w:lineRule="exact"/>
        <w:rPr>
          <w:sz w:val="20"/>
          <w:szCs w:val="20"/>
          <w:color w:val="auto"/>
        </w:rPr>
      </w:pPr>
    </w:p>
    <w:sectPr>
      <w:pgSz w:w="11900" w:h="16838" w:orient="portrait"/>
      <w:cols w:equalWidth="0" w:num="1">
        <w:col w:w="11160"/>
      </w:cols>
      <w:pgMar w:left="320" w:top="324"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lvl w:ilvl="1">
      <w:lvlJc w:val="left"/>
      <w:lvlText w:val="(%2)"/>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2025-06-26T06:34:02Z</dcterms:created>
  <dcterms:modified xsi:type="dcterms:W3CDTF">2025-06-26T06:34:02Z</dcterms:modified>
</cp:coreProperties>
</file>