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00726.htm"/>
      <w:bookmarkStart w:id="1" w:name="ksf6k_100726"/>
      <w:bookmarkEnd w:id="0"/>
      <w:bookmarkEnd w:id="1"/>
      <w:r>
        <w:rPr>
          <w:bdr w:val="single" w:sz="20" w:space="1" w:color="000000"/>
        </w:rPr>
        <w:t> </w:t>
      </w:r>
    </w:p>
    <w:p>
      <w:pPr>
        <w:pStyle w:val="TextBody"/>
        <w:bidi w:val="0"/>
        <w:jc w:val="center"/>
        <w:rPr/>
      </w:pPr>
      <w:r>
        <w:rPr>
          <w:rStyle w:val="StrongEmphasis"/>
          <w:caps/>
          <w:sz w:val="28"/>
        </w:rPr>
        <w:t>UNITED STATES</w:t>
        <w:br/>
        <w:t>SECURITIES AND EXCHANGE COMMISSION</w:t>
        <w:br/>
        <w:t>Washington, D.C. 20549 </w:t>
      </w:r>
    </w:p>
    <w:p>
      <w:pPr>
        <w:pStyle w:val="TextBody"/>
        <w:bidi w:val="0"/>
        <w:jc w:val="center"/>
        <w:rPr/>
      </w:pPr>
      <w:r>
        <w:rPr>
          <w:rStyle w:val="StrongEmphasis"/>
          <w:caps/>
          <w:sz w:val="28"/>
        </w:rPr>
        <w:t>Form 6-K</w:t>
      </w:r>
    </w:p>
    <w:p>
      <w:pPr>
        <w:pStyle w:val="TextBody"/>
        <w:bidi w:val="0"/>
        <w:jc w:val="center"/>
        <w:rPr/>
      </w:pPr>
      <w:r>
        <w:rPr>
          <w:rStyle w:val="StrongEmphasis"/>
          <w:sz w:val="24"/>
        </w:rPr>
        <w:t>REPORT OF FOREIGN ISSUER </w:t>
        <w:br/>
        <w:t>PURSUANT TO RULE 13a-16 OR 15d-16 </w:t>
        <w:br/>
        <w:t>UNDER THE SECURITIES EXCHANGE ACT OF 1934</w:t>
      </w:r>
      <w:r>
        <w:rPr/>
        <w:t> </w:t>
      </w:r>
    </w:p>
    <w:p>
      <w:pPr>
        <w:pStyle w:val="TextBody"/>
        <w:bidi w:val="0"/>
        <w:jc w:val="center"/>
        <w:rPr/>
      </w:pPr>
      <w:r>
        <w:rPr>
          <w:rStyle w:val="StrongEmphasis"/>
        </w:rPr>
        <w:t>For the month of October 2026</w:t>
      </w:r>
    </w:p>
    <w:p>
      <w:pPr>
        <w:pStyle w:val="TextBody"/>
        <w:bidi w:val="0"/>
        <w:jc w:val="center"/>
        <w:rPr/>
      </w:pPr>
      <w:r>
        <w:rPr>
          <w:rStyle w:val="StrongEmphasis"/>
        </w:rPr>
        <w:t>Commission File Number: 1-32575</w:t>
      </w:r>
      <w:r>
        <w:rPr/>
        <w:t> </w:t>
      </w:r>
    </w:p>
    <w:p>
      <w:pPr>
        <w:pStyle w:val="TextBody"/>
        <w:bidi w:val="0"/>
        <w:jc w:val="center"/>
        <w:rPr/>
      </w:pPr>
      <w:r>
        <w:rPr>
          <w:rStyle w:val="StrongEmphasis"/>
          <w:sz w:val="32"/>
        </w:rPr>
        <w:t>Shell plc</w:t>
      </w:r>
      <w:r>
        <w:rPr/>
        <w:br/>
        <w:t>(Exact name of registrant as specified in its charter) </w:t>
      </w:r>
    </w:p>
    <w:p>
      <w:pPr>
        <w:pStyle w:val="TextBody"/>
        <w:bidi w:val="0"/>
        <w:jc w:val="center"/>
        <w:rPr/>
      </w:pPr>
      <w:r>
        <w:rPr>
          <w:rStyle w:val="StrongEmphasis"/>
        </w:rPr>
        <w:t>England and Wales</w:t>
        <w:br/>
      </w:r>
      <w:r>
        <w:rPr/>
        <w:t>(Jurisdiction of incorporation or organization) </w:t>
      </w:r>
    </w:p>
    <w:p>
      <w:pPr>
        <w:pStyle w:val="TextBody"/>
        <w:bidi w:val="0"/>
        <w:jc w:val="center"/>
        <w:rPr/>
      </w:pPr>
      <w:r>
        <w:rPr>
          <w:rStyle w:val="StrongEmphasis"/>
        </w:rPr>
        <w:t>Shell Centre</w:t>
        <w:br/>
        <w:t>London, SE1 7NA</w:t>
        <w:br/>
        <w:t>United Kingdom</w:t>
        <w:br/>
      </w:r>
      <w:r>
        <w:rPr/>
        <w:t>(Address of principal executive office)</w:t>
      </w:r>
    </w:p>
    <w:p>
      <w:pPr>
        <w:pStyle w:val="TextBody"/>
        <w:bidi w:val="0"/>
        <w:jc w:val="center"/>
        <w:rPr/>
      </w:pPr>
      <w:r>
        <w:rPr>
          <w:rStyle w:val="StrongEmphasis"/>
        </w:rPr>
        <w:t>________________________________</w:t>
      </w:r>
    </w:p>
    <w:p>
      <w:pPr>
        <w:pStyle w:val="TextBody"/>
        <w:bidi w:val="0"/>
        <w:spacing w:before="0" w:after="283"/>
        <w:jc w:val="left"/>
        <w:rPr/>
      </w:pPr>
      <w:r>
        <w:rPr/>
        <w:t>Indicate by check mark whether the registrant files or will file annual reports under cover of Form 20-F or Form 40-F.</w:t>
      </w:r>
    </w:p>
    <w:p>
      <w:pPr>
        <w:pStyle w:val="TextBody"/>
        <w:bidi w:val="0"/>
        <w:jc w:val="center"/>
        <w:rPr/>
      </w:pPr>
      <w:r>
        <w:rPr/>
        <w:t>Form 20-F [ X ]      Form 40-F [   ]</w:t>
      </w:r>
    </w:p>
    <w:p>
      <w:pPr>
        <w:pStyle w:val="HorizontalLine"/>
        <w:pBdr>
          <w:bottom w:val="single" w:sz="12" w:space="0" w:color="808080"/>
        </w:pBdr>
        <w:bidi w:val="0"/>
        <w:jc w:val="left"/>
        <w:rPr/>
      </w:pPr>
      <w:r>
        <w:rPr/>
      </w:r>
    </w:p>
    <w:p>
      <w:pPr>
        <w:pStyle w:val="TextBody"/>
        <w:bidi w:val="0"/>
        <w:jc w:val="center"/>
        <w:rPr/>
      </w:pPr>
      <w:r>
        <w:rPr>
          <w:rStyle w:val="StrongEmphasis"/>
        </w:rPr>
        <w:t>Shell third quarter 2026 update note</w:t>
      </w:r>
    </w:p>
    <w:p>
      <w:pPr>
        <w:pStyle w:val="TextBody"/>
        <w:bidi w:val="0"/>
        <w:jc w:val="left"/>
        <w:rPr/>
      </w:pPr>
      <w:r>
        <w:rPr/>
        <w:t>The following is an update to the third quarter 2026 outlook and gives an overview of our current expectations for the third quarter. Outlooks presented may vary from the actual third quarter 2026 results and are subject to finalisation of those results, which are scheduled to be published on 29 October, 2026. Unless otherwise indicated, all outlook statements exclude identified items. </w:t>
      </w:r>
    </w:p>
    <w:p>
      <w:pPr>
        <w:pStyle w:val="TextBody"/>
        <w:bidi w:val="0"/>
        <w:spacing w:before="0" w:after="283"/>
        <w:jc w:val="left"/>
        <w:rPr/>
      </w:pPr>
      <w:r>
        <w:rPr/>
        <w:t>See appendix for the definition of the non-GAAP measure used, the reconciliation from GAAP to non-GAAP and the most comparable GAAP measure.</w:t>
      </w:r>
    </w:p>
    <w:p>
      <w:pPr>
        <w:pStyle w:val="TextBody"/>
        <w:bidi w:val="0"/>
        <w:jc w:val="left"/>
        <w:rPr>
          <w:b/>
        </w:rPr>
      </w:pPr>
      <w:r>
        <w:rPr>
          <w:b/>
        </w:rPr>
        <w:t>Integrated Gas</w:t>
      </w:r>
    </w:p>
    <w:tbl>
      <w:tblPr>
        <w:tblW w:w="7634" w:type="dxa"/>
        <w:jc w:val="left"/>
        <w:tblInd w:w="-10" w:type="dxa"/>
        <w:tblLayout w:type="fixed"/>
        <w:tblCellMar>
          <w:top w:w="28" w:type="dxa"/>
          <w:left w:w="28" w:type="dxa"/>
          <w:bottom w:w="28" w:type="dxa"/>
          <w:right w:w="0" w:type="dxa"/>
        </w:tblCellMar>
      </w:tblPr>
      <w:tblGrid>
        <w:gridCol w:w="3666"/>
        <w:gridCol w:w="842"/>
        <w:gridCol w:w="1823"/>
        <w:gridCol w:w="1303"/>
      </w:tblGrid>
      <w:tr>
        <w:trPr/>
        <w:tc>
          <w:tcPr>
            <w:tcW w:w="3666"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sz w:val="20"/>
              </w:rPr>
            </w:pPr>
            <w:r>
              <w:rPr>
                <w:i/>
                <w:sz w:val="20"/>
              </w:rPr>
              <w:t>$ billions</w:t>
            </w:r>
          </w:p>
        </w:tc>
        <w:tc>
          <w:tcPr>
            <w:tcW w:w="842"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Q2’26</w:t>
            </w:r>
          </w:p>
        </w:tc>
        <w:tc>
          <w:tcPr>
            <w:tcW w:w="1823"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Q3’26 Outlook</w:t>
            </w:r>
          </w:p>
        </w:tc>
        <w:tc>
          <w:tcPr>
            <w:tcW w:w="1303"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b/>
                <w:sz w:val="20"/>
              </w:rPr>
            </w:pPr>
            <w:r>
              <w:rPr>
                <w:b/>
                <w:sz w:val="20"/>
              </w:rPr>
              <w:t>Comment</w:t>
            </w:r>
          </w:p>
        </w:tc>
      </w:tr>
      <w:tr>
        <w:trPr/>
        <w:tc>
          <w:tcPr>
            <w:tcW w:w="3666"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Production (kboe/d)</w:t>
            </w:r>
          </w:p>
        </w:tc>
        <w:tc>
          <w:tcPr>
            <w:tcW w:w="842"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631</w:t>
            </w:r>
          </w:p>
        </w:tc>
        <w:tc>
          <w:tcPr>
            <w:tcW w:w="1823"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740 - 780</w:t>
            </w:r>
          </w:p>
        </w:tc>
        <w:tc>
          <w:tcPr>
            <w:tcW w:w="1303"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3666"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LNG liquefaction volumes (MT)</w:t>
            </w:r>
          </w:p>
        </w:tc>
        <w:tc>
          <w:tcPr>
            <w:tcW w:w="842"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7.7</w:t>
            </w:r>
          </w:p>
        </w:tc>
        <w:tc>
          <w:tcPr>
            <w:tcW w:w="1823"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7.2 - 7.6</w:t>
            </w:r>
          </w:p>
        </w:tc>
        <w:tc>
          <w:tcPr>
            <w:tcW w:w="1303"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3666"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Underlying opex</w:t>
            </w:r>
          </w:p>
        </w:tc>
        <w:tc>
          <w:tcPr>
            <w:tcW w:w="842"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1.1</w:t>
            </w:r>
          </w:p>
        </w:tc>
        <w:tc>
          <w:tcPr>
            <w:tcW w:w="1823"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1.3 - 1.5</w:t>
            </w:r>
          </w:p>
        </w:tc>
        <w:tc>
          <w:tcPr>
            <w:tcW w:w="1303"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3666"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Pre-tax depreciation</w:t>
            </w:r>
          </w:p>
        </w:tc>
        <w:tc>
          <w:tcPr>
            <w:tcW w:w="842"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1.2</w:t>
            </w:r>
          </w:p>
        </w:tc>
        <w:tc>
          <w:tcPr>
            <w:tcW w:w="1823"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1.1 - 1.5</w:t>
            </w:r>
          </w:p>
        </w:tc>
        <w:tc>
          <w:tcPr>
            <w:tcW w:w="1303"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3666"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Taxation charge</w:t>
            </w:r>
          </w:p>
        </w:tc>
        <w:tc>
          <w:tcPr>
            <w:tcW w:w="842"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0.8</w:t>
            </w:r>
          </w:p>
        </w:tc>
        <w:tc>
          <w:tcPr>
            <w:tcW w:w="1823"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0.6 - 0.9</w:t>
            </w:r>
          </w:p>
        </w:tc>
        <w:tc>
          <w:tcPr>
            <w:tcW w:w="1303"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7634"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b/>
                <w:sz w:val="20"/>
              </w:rPr>
            </w:pPr>
            <w:r>
              <w:rPr>
                <w:b/>
                <w:sz w:val="20"/>
              </w:rPr>
              <w:t>Other Considerations:</w:t>
            </w:r>
          </w:p>
        </w:tc>
      </w:tr>
      <w:tr>
        <w:trPr/>
        <w:tc>
          <w:tcPr>
            <w:tcW w:w="7634"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sz w:val="20"/>
              </w:rPr>
            </w:pPr>
            <w:r>
              <w:rPr>
                <w:sz w:val="20"/>
              </w:rPr>
              <w:t>Trading &amp; Optimisation is expected to be in line with Q2’26.</w:t>
              <w:br/>
              <w:t>Outlook includes the acquisition of ARC resources, which completed on 2 September, 2026.</w:t>
            </w:r>
          </w:p>
        </w:tc>
      </w:tr>
    </w:tbl>
    <w:p>
      <w:pPr>
        <w:pStyle w:val="TextBody"/>
        <w:bidi w:val="0"/>
        <w:jc w:val="left"/>
        <w:rPr>
          <w:b/>
        </w:rPr>
      </w:pPr>
      <w:r>
        <w:rPr>
          <w:b/>
        </w:rPr>
        <w:t>Upstream</w:t>
      </w:r>
    </w:p>
    <w:tbl>
      <w:tblPr>
        <w:tblW w:w="5534" w:type="dxa"/>
        <w:jc w:val="left"/>
        <w:tblInd w:w="-10" w:type="dxa"/>
        <w:tblLayout w:type="fixed"/>
        <w:tblCellMar>
          <w:top w:w="28" w:type="dxa"/>
          <w:left w:w="28" w:type="dxa"/>
          <w:bottom w:w="28" w:type="dxa"/>
          <w:right w:w="0" w:type="dxa"/>
        </w:tblCellMar>
      </w:tblPr>
      <w:tblGrid>
        <w:gridCol w:w="2055"/>
        <w:gridCol w:w="738"/>
        <w:gridCol w:w="1599"/>
        <w:gridCol w:w="1142"/>
      </w:tblGrid>
      <w:tr>
        <w:trPr/>
        <w:tc>
          <w:tcPr>
            <w:tcW w:w="20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sz w:val="20"/>
              </w:rPr>
            </w:pPr>
            <w:r>
              <w:rPr>
                <w:i/>
                <w:sz w:val="20"/>
              </w:rPr>
              <w:t>$ billions</w:t>
            </w:r>
          </w:p>
        </w:tc>
        <w:tc>
          <w:tcPr>
            <w:tcW w:w="738"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Q2’26</w:t>
            </w:r>
          </w:p>
        </w:tc>
        <w:tc>
          <w:tcPr>
            <w:tcW w:w="1599"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Q3’26 Outlook</w:t>
            </w:r>
          </w:p>
        </w:tc>
        <w:tc>
          <w:tcPr>
            <w:tcW w:w="1142"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b/>
                <w:sz w:val="20"/>
              </w:rPr>
            </w:pPr>
            <w:r>
              <w:rPr>
                <w:b/>
                <w:sz w:val="20"/>
              </w:rPr>
              <w:t>Comment</w:t>
            </w:r>
          </w:p>
        </w:tc>
      </w:tr>
      <w:tr>
        <w:trPr/>
        <w:tc>
          <w:tcPr>
            <w:tcW w:w="2055"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Production (kboe/d)</w:t>
            </w:r>
          </w:p>
        </w:tc>
        <w:tc>
          <w:tcPr>
            <w:tcW w:w="738"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1,824</w:t>
            </w:r>
          </w:p>
        </w:tc>
        <w:tc>
          <w:tcPr>
            <w:tcW w:w="1599"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1,735 - 1,835</w:t>
            </w:r>
          </w:p>
        </w:tc>
        <w:tc>
          <w:tcPr>
            <w:tcW w:w="1142"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055"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Underlying opex</w:t>
            </w:r>
          </w:p>
        </w:tc>
        <w:tc>
          <w:tcPr>
            <w:tcW w:w="738"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2.2</w:t>
            </w:r>
          </w:p>
        </w:tc>
        <w:tc>
          <w:tcPr>
            <w:tcW w:w="1599"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2.1 - 2.5</w:t>
            </w:r>
          </w:p>
        </w:tc>
        <w:tc>
          <w:tcPr>
            <w:tcW w:w="1142"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055"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Pre-tax depreciation</w:t>
            </w:r>
          </w:p>
        </w:tc>
        <w:tc>
          <w:tcPr>
            <w:tcW w:w="738"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2.5</w:t>
            </w:r>
          </w:p>
        </w:tc>
        <w:tc>
          <w:tcPr>
            <w:tcW w:w="1599"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2.2 - 2.8</w:t>
            </w:r>
          </w:p>
        </w:tc>
        <w:tc>
          <w:tcPr>
            <w:tcW w:w="1142"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055"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Taxation charge</w:t>
            </w:r>
          </w:p>
        </w:tc>
        <w:tc>
          <w:tcPr>
            <w:tcW w:w="738"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2.8</w:t>
            </w:r>
          </w:p>
        </w:tc>
        <w:tc>
          <w:tcPr>
            <w:tcW w:w="1599"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2.5 - 3.3</w:t>
            </w:r>
          </w:p>
        </w:tc>
        <w:tc>
          <w:tcPr>
            <w:tcW w:w="1142"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5534"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b/>
                <w:sz w:val="20"/>
              </w:rPr>
            </w:pPr>
            <w:r>
              <w:rPr>
                <w:b/>
                <w:sz w:val="20"/>
              </w:rPr>
              <w:t>Other Considerations:</w:t>
            </w:r>
          </w:p>
        </w:tc>
      </w:tr>
      <w:tr>
        <w:trPr/>
        <w:tc>
          <w:tcPr>
            <w:tcW w:w="5534"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sz w:val="20"/>
              </w:rPr>
            </w:pPr>
            <w:r>
              <w:rPr>
                <w:sz w:val="20"/>
              </w:rPr>
              <w:t>Q3’26 exploration well write-offs are expected to be ~$0.3 billion.</w:t>
            </w:r>
          </w:p>
        </w:tc>
      </w:tr>
    </w:tbl>
    <w:p>
      <w:pPr>
        <w:pStyle w:val="TextBody"/>
        <w:bidi w:val="0"/>
        <w:jc w:val="left"/>
        <w:rPr>
          <w:b/>
        </w:rPr>
      </w:pPr>
      <w:r>
        <w:rPr>
          <w:b/>
        </w:rPr>
        <w:t>Marketing</w:t>
      </w:r>
    </w:p>
    <w:tbl>
      <w:tblPr>
        <w:tblW w:w="5504" w:type="dxa"/>
        <w:jc w:val="left"/>
        <w:tblInd w:w="-10" w:type="dxa"/>
        <w:tblLayout w:type="fixed"/>
        <w:tblCellMar>
          <w:top w:w="28" w:type="dxa"/>
          <w:left w:w="28" w:type="dxa"/>
          <w:bottom w:w="28" w:type="dxa"/>
          <w:right w:w="0" w:type="dxa"/>
        </w:tblCellMar>
      </w:tblPr>
      <w:tblGrid>
        <w:gridCol w:w="2087"/>
        <w:gridCol w:w="725"/>
        <w:gridCol w:w="1570"/>
        <w:gridCol w:w="1122"/>
      </w:tblGrid>
      <w:tr>
        <w:trPr/>
        <w:tc>
          <w:tcPr>
            <w:tcW w:w="2087"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sz w:val="20"/>
              </w:rPr>
            </w:pPr>
            <w:r>
              <w:rPr>
                <w:i/>
                <w:sz w:val="20"/>
              </w:rPr>
              <w:t>$ billions</w:t>
            </w:r>
          </w:p>
        </w:tc>
        <w:tc>
          <w:tcPr>
            <w:tcW w:w="72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Q2’26</w:t>
            </w:r>
          </w:p>
        </w:tc>
        <w:tc>
          <w:tcPr>
            <w:tcW w:w="157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Q3’26 Outlook</w:t>
            </w:r>
          </w:p>
        </w:tc>
        <w:tc>
          <w:tcPr>
            <w:tcW w:w="1122"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b/>
                <w:sz w:val="20"/>
              </w:rPr>
            </w:pPr>
            <w:r>
              <w:rPr>
                <w:b/>
                <w:sz w:val="20"/>
              </w:rPr>
              <w:t>Comment</w:t>
            </w:r>
          </w:p>
        </w:tc>
      </w:tr>
      <w:tr>
        <w:trPr/>
        <w:tc>
          <w:tcPr>
            <w:tcW w:w="2087"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Sales volumes (kb/d)</w:t>
            </w:r>
          </w:p>
        </w:tc>
        <w:tc>
          <w:tcPr>
            <w:tcW w:w="72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2,570</w:t>
            </w:r>
          </w:p>
        </w:tc>
        <w:tc>
          <w:tcPr>
            <w:tcW w:w="157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2,550 - 2,650</w:t>
            </w:r>
          </w:p>
        </w:tc>
        <w:tc>
          <w:tcPr>
            <w:tcW w:w="1122"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087"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Underlying opex</w:t>
            </w:r>
          </w:p>
        </w:tc>
        <w:tc>
          <w:tcPr>
            <w:tcW w:w="72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2.5</w:t>
            </w:r>
          </w:p>
        </w:tc>
        <w:tc>
          <w:tcPr>
            <w:tcW w:w="157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2.3 - 2.7</w:t>
            </w:r>
          </w:p>
        </w:tc>
        <w:tc>
          <w:tcPr>
            <w:tcW w:w="1122"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087"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Pre-tax depreciation</w:t>
            </w:r>
          </w:p>
        </w:tc>
        <w:tc>
          <w:tcPr>
            <w:tcW w:w="72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0.6</w:t>
            </w:r>
          </w:p>
        </w:tc>
        <w:tc>
          <w:tcPr>
            <w:tcW w:w="157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0.5 - 0.7</w:t>
            </w:r>
          </w:p>
        </w:tc>
        <w:tc>
          <w:tcPr>
            <w:tcW w:w="1122"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087"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Taxation charge</w:t>
            </w:r>
          </w:p>
        </w:tc>
        <w:tc>
          <w:tcPr>
            <w:tcW w:w="72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0.4</w:t>
            </w:r>
          </w:p>
        </w:tc>
        <w:tc>
          <w:tcPr>
            <w:tcW w:w="157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0.2 - 0.5</w:t>
            </w:r>
          </w:p>
        </w:tc>
        <w:tc>
          <w:tcPr>
            <w:tcW w:w="1122"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5504"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b/>
                <w:sz w:val="20"/>
              </w:rPr>
            </w:pPr>
            <w:r>
              <w:rPr>
                <w:b/>
                <w:sz w:val="20"/>
              </w:rPr>
              <w:t>Other Considerations:</w:t>
            </w:r>
          </w:p>
        </w:tc>
      </w:tr>
      <w:tr>
        <w:trPr/>
        <w:tc>
          <w:tcPr>
            <w:tcW w:w="5504"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sz w:val="20"/>
              </w:rPr>
            </w:pPr>
            <w:r>
              <w:rPr>
                <w:sz w:val="20"/>
              </w:rPr>
              <w:t>Marketing adjusted earnings are expected to be lower than Q2’26.</w:t>
            </w:r>
          </w:p>
        </w:tc>
      </w:tr>
    </w:tbl>
    <w:p>
      <w:pPr>
        <w:pStyle w:val="TextBody"/>
        <w:bidi w:val="0"/>
        <w:jc w:val="left"/>
        <w:rPr>
          <w:b/>
        </w:rPr>
      </w:pPr>
      <w:r>
        <w:rPr>
          <w:b/>
        </w:rPr>
        <w:t>Chemicals and Products</w:t>
      </w:r>
    </w:p>
    <w:tbl>
      <w:tblPr>
        <w:tblW w:w="10205" w:type="dxa"/>
        <w:jc w:val="left"/>
        <w:tblInd w:w="-10" w:type="dxa"/>
        <w:tblLayout w:type="fixed"/>
        <w:tblCellMar>
          <w:top w:w="28" w:type="dxa"/>
          <w:left w:w="28" w:type="dxa"/>
          <w:bottom w:w="28" w:type="dxa"/>
          <w:right w:w="0" w:type="dxa"/>
        </w:tblCellMar>
      </w:tblPr>
      <w:tblGrid>
        <w:gridCol w:w="2487"/>
        <w:gridCol w:w="1040"/>
        <w:gridCol w:w="1352"/>
        <w:gridCol w:w="5326"/>
      </w:tblGrid>
      <w:tr>
        <w:trPr/>
        <w:tc>
          <w:tcPr>
            <w:tcW w:w="2487"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sz w:val="20"/>
              </w:rPr>
            </w:pPr>
            <w:r>
              <w:rPr>
                <w:i/>
                <w:sz w:val="20"/>
              </w:rPr>
              <w:t>$ billions</w:t>
            </w:r>
          </w:p>
        </w:tc>
        <w:tc>
          <w:tcPr>
            <w:tcW w:w="104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Q2’26</w:t>
            </w:r>
          </w:p>
        </w:tc>
        <w:tc>
          <w:tcPr>
            <w:tcW w:w="1352"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Q3’26 Outlook</w:t>
            </w:r>
          </w:p>
        </w:tc>
        <w:tc>
          <w:tcPr>
            <w:tcW w:w="5326"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b/>
                <w:sz w:val="20"/>
              </w:rPr>
            </w:pPr>
            <w:r>
              <w:rPr>
                <w:b/>
                <w:sz w:val="20"/>
              </w:rPr>
              <w:t>Comment</w:t>
            </w:r>
          </w:p>
        </w:tc>
      </w:tr>
      <w:tr>
        <w:trPr/>
        <w:tc>
          <w:tcPr>
            <w:tcW w:w="2487"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Indicative refining margin*</w:t>
            </w:r>
          </w:p>
        </w:tc>
        <w:tc>
          <w:tcPr>
            <w:tcW w:w="104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$24/bbl</w:t>
            </w:r>
          </w:p>
        </w:tc>
        <w:tc>
          <w:tcPr>
            <w:tcW w:w="1352"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$42/bbl</w:t>
            </w:r>
          </w:p>
        </w:tc>
        <w:tc>
          <w:tcPr>
            <w:tcW w:w="532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487"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Indicative chemicals margin*</w:t>
            </w:r>
          </w:p>
        </w:tc>
        <w:tc>
          <w:tcPr>
            <w:tcW w:w="104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$270/tonne</w:t>
            </w:r>
          </w:p>
        </w:tc>
        <w:tc>
          <w:tcPr>
            <w:tcW w:w="1352"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$208/tonne</w:t>
            </w:r>
          </w:p>
        </w:tc>
        <w:tc>
          <w:tcPr>
            <w:tcW w:w="532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487"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Refinery utilisation</w:t>
            </w:r>
          </w:p>
        </w:tc>
        <w:tc>
          <w:tcPr>
            <w:tcW w:w="104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102%</w:t>
            </w:r>
          </w:p>
        </w:tc>
        <w:tc>
          <w:tcPr>
            <w:tcW w:w="1352"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93% - 97%</w:t>
            </w:r>
          </w:p>
        </w:tc>
        <w:tc>
          <w:tcPr>
            <w:tcW w:w="532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sz w:val="20"/>
              </w:rPr>
            </w:pPr>
            <w:r>
              <w:rPr>
                <w:sz w:val="20"/>
              </w:rPr>
              <w:t>Low Rhine water levels impacting Rheinland refinery utilisation.</w:t>
            </w:r>
          </w:p>
        </w:tc>
      </w:tr>
      <w:tr>
        <w:trPr/>
        <w:tc>
          <w:tcPr>
            <w:tcW w:w="2487"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Chemicals utilisation</w:t>
            </w:r>
          </w:p>
        </w:tc>
        <w:tc>
          <w:tcPr>
            <w:tcW w:w="104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83%</w:t>
            </w:r>
          </w:p>
        </w:tc>
        <w:tc>
          <w:tcPr>
            <w:tcW w:w="1352"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81% - 85%</w:t>
            </w:r>
          </w:p>
        </w:tc>
        <w:tc>
          <w:tcPr>
            <w:tcW w:w="532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487"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Underlying opex</w:t>
            </w:r>
          </w:p>
        </w:tc>
        <w:tc>
          <w:tcPr>
            <w:tcW w:w="104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1.9</w:t>
            </w:r>
          </w:p>
        </w:tc>
        <w:tc>
          <w:tcPr>
            <w:tcW w:w="1352"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1.7 - 2.1</w:t>
            </w:r>
          </w:p>
        </w:tc>
        <w:tc>
          <w:tcPr>
            <w:tcW w:w="532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487"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Pre-tax depreciation</w:t>
            </w:r>
          </w:p>
        </w:tc>
        <w:tc>
          <w:tcPr>
            <w:tcW w:w="104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1.1</w:t>
            </w:r>
          </w:p>
        </w:tc>
        <w:tc>
          <w:tcPr>
            <w:tcW w:w="1352"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1.1 - 1.3</w:t>
            </w:r>
          </w:p>
        </w:tc>
        <w:tc>
          <w:tcPr>
            <w:tcW w:w="532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487"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Taxation charge / (credit)</w:t>
            </w:r>
          </w:p>
        </w:tc>
        <w:tc>
          <w:tcPr>
            <w:tcW w:w="104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0.6</w:t>
            </w:r>
          </w:p>
        </w:tc>
        <w:tc>
          <w:tcPr>
            <w:tcW w:w="1352"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1.0 - 1.5</w:t>
            </w:r>
          </w:p>
        </w:tc>
        <w:tc>
          <w:tcPr>
            <w:tcW w:w="532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10205"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b/>
                <w:sz w:val="20"/>
              </w:rPr>
            </w:pPr>
            <w:r>
              <w:rPr>
                <w:b/>
                <w:sz w:val="20"/>
              </w:rPr>
              <w:t>Other Considerations:</w:t>
            </w:r>
          </w:p>
        </w:tc>
      </w:tr>
      <w:tr>
        <w:trPr/>
        <w:tc>
          <w:tcPr>
            <w:tcW w:w="10205"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sz w:val="20"/>
              </w:rPr>
            </w:pPr>
            <w:r>
              <w:rPr>
                <w:sz w:val="20"/>
              </w:rPr>
              <w:t>Trading &amp; Optimisation is expected to be in line with Q2’26.</w:t>
            </w:r>
          </w:p>
        </w:tc>
      </w:tr>
    </w:tbl>
    <w:p>
      <w:pPr>
        <w:pStyle w:val="TextBody"/>
        <w:bidi w:val="0"/>
        <w:spacing w:before="0" w:after="283"/>
        <w:jc w:val="left"/>
        <w:rPr/>
      </w:pPr>
      <w:r>
        <w:rPr/>
        <w:t>*See appendix</w:t>
      </w:r>
    </w:p>
    <w:p>
      <w:pPr>
        <w:pStyle w:val="TextBody"/>
        <w:bidi w:val="0"/>
        <w:jc w:val="left"/>
        <w:rPr>
          <w:b/>
        </w:rPr>
      </w:pPr>
      <w:r>
        <w:rPr>
          <w:b/>
        </w:rPr>
        <w:t>Renewables and Energy Solutions</w:t>
      </w:r>
    </w:p>
    <w:tbl>
      <w:tblPr>
        <w:tblW w:w="4699" w:type="dxa"/>
        <w:jc w:val="left"/>
        <w:tblInd w:w="-10" w:type="dxa"/>
        <w:tblLayout w:type="fixed"/>
        <w:tblCellMar>
          <w:top w:w="28" w:type="dxa"/>
          <w:left w:w="28" w:type="dxa"/>
          <w:bottom w:w="28" w:type="dxa"/>
          <w:right w:w="0" w:type="dxa"/>
        </w:tblCellMar>
      </w:tblPr>
      <w:tblGrid>
        <w:gridCol w:w="1726"/>
        <w:gridCol w:w="631"/>
        <w:gridCol w:w="1366"/>
        <w:gridCol w:w="976"/>
      </w:tblGrid>
      <w:tr>
        <w:trPr/>
        <w:tc>
          <w:tcPr>
            <w:tcW w:w="1726"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sz w:val="20"/>
              </w:rPr>
            </w:pPr>
            <w:r>
              <w:rPr>
                <w:i/>
                <w:sz w:val="20"/>
              </w:rPr>
              <w:t>$ billions</w:t>
            </w:r>
          </w:p>
        </w:tc>
        <w:tc>
          <w:tcPr>
            <w:tcW w:w="63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Q2’26</w:t>
            </w:r>
          </w:p>
        </w:tc>
        <w:tc>
          <w:tcPr>
            <w:tcW w:w="1366"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Q3’26 Outlook</w:t>
            </w:r>
          </w:p>
        </w:tc>
        <w:tc>
          <w:tcPr>
            <w:tcW w:w="976"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b/>
                <w:sz w:val="20"/>
              </w:rPr>
            </w:pPr>
            <w:r>
              <w:rPr>
                <w:b/>
                <w:sz w:val="20"/>
              </w:rPr>
              <w:t>Comment</w:t>
            </w:r>
          </w:p>
        </w:tc>
      </w:tr>
      <w:tr>
        <w:trPr/>
        <w:tc>
          <w:tcPr>
            <w:tcW w:w="1726" w:type="dxa"/>
            <w:tcBorders>
              <w:left w:val="single" w:sz="8" w:space="0" w:color="000000"/>
              <w:bottom w:val="single" w:sz="8" w:space="0" w:color="000000"/>
            </w:tcBorders>
            <w:tcMar>
              <w:top w:w="0" w:type="dxa"/>
            </w:tcMar>
            <w:vAlign w:val="center"/>
          </w:tcPr>
          <w:p>
            <w:pPr>
              <w:pStyle w:val="TableContents"/>
              <w:bidi w:val="0"/>
              <w:spacing w:before="0" w:after="283"/>
              <w:jc w:val="left"/>
              <w:rPr>
                <w:b/>
                <w:sz w:val="20"/>
              </w:rPr>
            </w:pPr>
            <w:r>
              <w:rPr>
                <w:b/>
                <w:sz w:val="20"/>
              </w:rPr>
              <w:t xml:space="preserve">Adjusted Earnings </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0.1</w:t>
            </w:r>
          </w:p>
        </w:tc>
        <w:tc>
          <w:tcPr>
            <w:tcW w:w="1366"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0.0 - 0.4</w:t>
            </w:r>
          </w:p>
        </w:tc>
        <w:tc>
          <w:tcPr>
            <w:tcW w:w="97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jc w:val="left"/>
        <w:rPr>
          <w:b/>
        </w:rPr>
      </w:pPr>
      <w:r>
        <w:rPr>
          <w:b/>
        </w:rPr>
        <w:t>Corporate</w:t>
      </w:r>
    </w:p>
    <w:tbl>
      <w:tblPr>
        <w:tblW w:w="4699" w:type="dxa"/>
        <w:jc w:val="left"/>
        <w:tblInd w:w="-10" w:type="dxa"/>
        <w:tblLayout w:type="fixed"/>
        <w:tblCellMar>
          <w:top w:w="28" w:type="dxa"/>
          <w:left w:w="28" w:type="dxa"/>
          <w:bottom w:w="28" w:type="dxa"/>
          <w:right w:w="0" w:type="dxa"/>
        </w:tblCellMar>
      </w:tblPr>
      <w:tblGrid>
        <w:gridCol w:w="1726"/>
        <w:gridCol w:w="631"/>
        <w:gridCol w:w="1366"/>
        <w:gridCol w:w="976"/>
      </w:tblGrid>
      <w:tr>
        <w:trPr/>
        <w:tc>
          <w:tcPr>
            <w:tcW w:w="1726"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sz w:val="20"/>
              </w:rPr>
            </w:pPr>
            <w:r>
              <w:rPr>
                <w:i/>
                <w:sz w:val="20"/>
              </w:rPr>
              <w:t>$ billions</w:t>
            </w:r>
          </w:p>
        </w:tc>
        <w:tc>
          <w:tcPr>
            <w:tcW w:w="63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Q2’26</w:t>
            </w:r>
          </w:p>
        </w:tc>
        <w:tc>
          <w:tcPr>
            <w:tcW w:w="1366"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Q3’26 Outlook</w:t>
            </w:r>
          </w:p>
        </w:tc>
        <w:tc>
          <w:tcPr>
            <w:tcW w:w="976"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b/>
                <w:sz w:val="20"/>
              </w:rPr>
            </w:pPr>
            <w:r>
              <w:rPr>
                <w:b/>
                <w:sz w:val="20"/>
              </w:rPr>
              <w:t>Comment</w:t>
            </w:r>
          </w:p>
        </w:tc>
      </w:tr>
      <w:tr>
        <w:trPr/>
        <w:tc>
          <w:tcPr>
            <w:tcW w:w="1726" w:type="dxa"/>
            <w:tcBorders>
              <w:left w:val="single" w:sz="8" w:space="0" w:color="000000"/>
              <w:bottom w:val="single" w:sz="8" w:space="0" w:color="000000"/>
            </w:tcBorders>
            <w:tcMar>
              <w:top w:w="0" w:type="dxa"/>
            </w:tcMar>
            <w:vAlign w:val="center"/>
          </w:tcPr>
          <w:p>
            <w:pPr>
              <w:pStyle w:val="TableContents"/>
              <w:bidi w:val="0"/>
              <w:spacing w:before="0" w:after="283"/>
              <w:jc w:val="left"/>
              <w:rPr>
                <w:b/>
                <w:sz w:val="20"/>
              </w:rPr>
            </w:pPr>
            <w:r>
              <w:rPr>
                <w:b/>
                <w:sz w:val="20"/>
              </w:rPr>
              <w:t xml:space="preserve">Adjusted Earnings </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(0.6)</w:t>
            </w:r>
          </w:p>
        </w:tc>
        <w:tc>
          <w:tcPr>
            <w:tcW w:w="1366"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(0.8) - (0.6)</w:t>
            </w:r>
          </w:p>
        </w:tc>
        <w:tc>
          <w:tcPr>
            <w:tcW w:w="97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jc w:val="left"/>
        <w:rPr>
          <w:b/>
        </w:rPr>
      </w:pPr>
      <w:r>
        <w:rPr>
          <w:b/>
        </w:rPr>
        <w:t xml:space="preserve">Shell Group </w:t>
      </w:r>
    </w:p>
    <w:tbl>
      <w:tblPr>
        <w:tblW w:w="10205" w:type="dxa"/>
        <w:jc w:val="left"/>
        <w:tblInd w:w="-10" w:type="dxa"/>
        <w:tblLayout w:type="fixed"/>
        <w:tblCellMar>
          <w:top w:w="28" w:type="dxa"/>
          <w:left w:w="28" w:type="dxa"/>
          <w:bottom w:w="28" w:type="dxa"/>
          <w:right w:w="0" w:type="dxa"/>
        </w:tblCellMar>
      </w:tblPr>
      <w:tblGrid>
        <w:gridCol w:w="2195"/>
        <w:gridCol w:w="636"/>
        <w:gridCol w:w="1040"/>
        <w:gridCol w:w="6334"/>
      </w:tblGrid>
      <w:tr>
        <w:trPr/>
        <w:tc>
          <w:tcPr>
            <w:tcW w:w="219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sz w:val="20"/>
              </w:rPr>
            </w:pPr>
            <w:r>
              <w:rPr>
                <w:i/>
                <w:sz w:val="20"/>
              </w:rPr>
              <w:t>$ billions</w:t>
            </w:r>
          </w:p>
        </w:tc>
        <w:tc>
          <w:tcPr>
            <w:tcW w:w="636"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Q2’26</w:t>
            </w:r>
          </w:p>
        </w:tc>
        <w:tc>
          <w:tcPr>
            <w:tcW w:w="104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Q3’26 Outlook</w:t>
            </w:r>
          </w:p>
        </w:tc>
        <w:tc>
          <w:tcPr>
            <w:tcW w:w="6334"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b/>
                <w:sz w:val="20"/>
              </w:rPr>
            </w:pPr>
            <w:r>
              <w:rPr>
                <w:b/>
                <w:sz w:val="20"/>
              </w:rPr>
              <w:t>Comment</w:t>
            </w:r>
          </w:p>
        </w:tc>
      </w:tr>
      <w:tr>
        <w:trPr/>
        <w:tc>
          <w:tcPr>
            <w:tcW w:w="10205"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b/>
                <w:sz w:val="20"/>
              </w:rPr>
            </w:pPr>
            <w:r>
              <w:rPr>
                <w:b/>
                <w:sz w:val="20"/>
              </w:rPr>
              <w:t>CFFO:</w:t>
            </w:r>
          </w:p>
        </w:tc>
      </w:tr>
      <w:tr>
        <w:trPr/>
        <w:tc>
          <w:tcPr>
            <w:tcW w:w="2195"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Tax paid</w:t>
            </w:r>
          </w:p>
        </w:tc>
        <w:tc>
          <w:tcPr>
            <w:tcW w:w="636"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2.9</w:t>
            </w:r>
          </w:p>
        </w:tc>
        <w:tc>
          <w:tcPr>
            <w:tcW w:w="104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3.1 - 3.9</w:t>
            </w:r>
          </w:p>
        </w:tc>
        <w:tc>
          <w:tcPr>
            <w:tcW w:w="6334"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195"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Financial Derivative Instruments movements</w:t>
            </w:r>
          </w:p>
        </w:tc>
        <w:tc>
          <w:tcPr>
            <w:tcW w:w="636"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(0.4)</w:t>
            </w:r>
          </w:p>
        </w:tc>
        <w:tc>
          <w:tcPr>
            <w:tcW w:w="104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0 - 5</w:t>
            </w:r>
          </w:p>
        </w:tc>
        <w:tc>
          <w:tcPr>
            <w:tcW w:w="6334"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195"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Other</w:t>
            </w:r>
          </w:p>
        </w:tc>
        <w:tc>
          <w:tcPr>
            <w:tcW w:w="636"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0.1</w:t>
            </w:r>
          </w:p>
        </w:tc>
        <w:tc>
          <w:tcPr>
            <w:tcW w:w="104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(4) - 1</w:t>
            </w:r>
          </w:p>
        </w:tc>
        <w:tc>
          <w:tcPr>
            <w:tcW w:w="6334"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sz w:val="20"/>
              </w:rPr>
            </w:pPr>
            <w:r>
              <w:rPr>
                <w:sz w:val="20"/>
              </w:rPr>
              <w:t>CFFO excluding working capital is expected to include an ~$2.5 billion outflow related to timing of payments of emissions certificates relating to the German BEHG*. </w:t>
            </w:r>
          </w:p>
        </w:tc>
      </w:tr>
      <w:tr>
        <w:trPr/>
        <w:tc>
          <w:tcPr>
            <w:tcW w:w="2195"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Working capital</w:t>
            </w:r>
          </w:p>
        </w:tc>
        <w:tc>
          <w:tcPr>
            <w:tcW w:w="636"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3.4</w:t>
            </w:r>
          </w:p>
        </w:tc>
        <w:tc>
          <w:tcPr>
            <w:tcW w:w="104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(4) - 1</w:t>
            </w:r>
          </w:p>
        </w:tc>
        <w:tc>
          <w:tcPr>
            <w:tcW w:w="6334"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10205"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b/>
                <w:sz w:val="20"/>
              </w:rPr>
            </w:pPr>
            <w:r>
              <w:rPr>
                <w:b/>
                <w:sz w:val="20"/>
              </w:rPr>
              <w:t>Other Shell Group Considerations:</w:t>
            </w:r>
          </w:p>
        </w:tc>
      </w:tr>
      <w:tr>
        <w:trPr/>
        <w:tc>
          <w:tcPr>
            <w:tcW w:w="10205"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sz w:val="20"/>
              </w:rPr>
            </w:pPr>
            <w:r>
              <w:rPr>
                <w:sz w:val="20"/>
              </w:rPr>
              <w:t>CFFO excluding working capital includes a $0.8 billion JV dividend inflow, which is offset by a $0.8 billion outflow through working capital (as funds were previously held in deposit by the corporate segment). The net impact on CFFO is zero.</w:t>
            </w:r>
          </w:p>
        </w:tc>
      </w:tr>
      <w:tr>
        <w:trPr/>
        <w:tc>
          <w:tcPr>
            <w:tcW w:w="10205"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sz w:val="20"/>
              </w:rPr>
            </w:pPr>
            <w:r>
              <w:rPr>
                <w:sz w:val="20"/>
              </w:rPr>
              <w:t>Non-cash post tax impairments of biogas assets in Marketing are expected to be largely offset by an impairment reversal in Integrated Gas. Both are reported as identified items.</w:t>
            </w:r>
          </w:p>
        </w:tc>
      </w:tr>
      <w:tr>
        <w:trPr/>
        <w:tc>
          <w:tcPr>
            <w:tcW w:w="10205"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sz w:val="20"/>
              </w:rPr>
            </w:pPr>
            <w:r>
              <w:rPr>
                <w:sz w:val="20"/>
              </w:rPr>
              <w:t>Net debt will be impacted by ARC acquisition cash consideration &amp; assumption of debt and an increase in variable components of long-term shipping leases in the current macro environment.</w:t>
            </w:r>
          </w:p>
        </w:tc>
      </w:tr>
    </w:tbl>
    <w:p>
      <w:pPr>
        <w:pStyle w:val="TextBody"/>
        <w:bidi w:val="0"/>
        <w:spacing w:before="0" w:after="283"/>
        <w:jc w:val="left"/>
        <w:rPr/>
      </w:pPr>
      <w:r>
        <w:rPr/>
        <w:t>*Brennstoffemissionshandelsgesetz (Fuel Emissions Trading Act), historically paid in the 4th quarter of each calender year</w:t>
      </w:r>
    </w:p>
    <w:p>
      <w:pPr>
        <w:pStyle w:val="TextBody"/>
        <w:bidi w:val="0"/>
        <w:jc w:val="left"/>
        <w:rPr>
          <w:b/>
        </w:rPr>
      </w:pPr>
      <w:r>
        <w:rPr>
          <w:b/>
        </w:rPr>
        <w:t>Guidance</w:t>
      </w:r>
    </w:p>
    <w:p>
      <w:pPr>
        <w:pStyle w:val="TextBody"/>
        <w:bidi w:val="0"/>
        <w:spacing w:before="0" w:after="283"/>
        <w:jc w:val="left"/>
        <w:rPr/>
      </w:pPr>
      <w:r>
        <w:rPr/>
        <w:t>The ‘Quarterly Databook’ contains guidance on Indicative Refining Margin, Indicative Chemicals Margin and full-year price and margin sensitivities.</w:t>
      </w:r>
    </w:p>
    <w:p>
      <w:pPr>
        <w:pStyle w:val="TextBody"/>
        <w:bidi w:val="0"/>
        <w:jc w:val="left"/>
        <w:rPr>
          <w:b/>
        </w:rPr>
      </w:pPr>
      <w:r>
        <w:rPr>
          <w:b/>
        </w:rPr>
        <w:t>Consensus</w:t>
      </w:r>
    </w:p>
    <w:p>
      <w:pPr>
        <w:pStyle w:val="TextBody"/>
        <w:bidi w:val="0"/>
        <w:jc w:val="both"/>
        <w:rPr/>
      </w:pPr>
      <w:r>
        <w:rPr/>
        <w:t>The company compiled consensus, managed by Vara Research, is expected to be published on October 21, 2026.</w:t>
      </w:r>
    </w:p>
    <w:p>
      <w:pPr>
        <w:pStyle w:val="TextBody"/>
        <w:bidi w:val="0"/>
        <w:jc w:val="left"/>
        <w:rPr>
          <w:b/>
        </w:rPr>
      </w:pPr>
      <w:r>
        <w:rPr>
          <w:b/>
        </w:rPr>
        <w:t>Appendix</w:t>
      </w:r>
    </w:p>
    <w:p>
      <w:pPr>
        <w:pStyle w:val="TextBody"/>
        <w:bidi w:val="0"/>
        <w:spacing w:before="0" w:after="283"/>
        <w:jc w:val="left"/>
        <w:rPr/>
      </w:pPr>
      <w:r>
        <w:rPr/>
        <w:t>Indicative Margins</w:t>
      </w:r>
    </w:p>
    <w:tbl>
      <w:tblPr>
        <w:tblW w:w="5628" w:type="dxa"/>
        <w:jc w:val="left"/>
        <w:tblInd w:w="-10" w:type="dxa"/>
        <w:tblLayout w:type="fixed"/>
        <w:tblCellMar>
          <w:top w:w="28" w:type="dxa"/>
          <w:left w:w="28" w:type="dxa"/>
          <w:bottom w:w="28" w:type="dxa"/>
          <w:right w:w="0" w:type="dxa"/>
        </w:tblCellMar>
      </w:tblPr>
      <w:tblGrid>
        <w:gridCol w:w="2416"/>
        <w:gridCol w:w="1051"/>
        <w:gridCol w:w="2161"/>
      </w:tblGrid>
      <w:tr>
        <w:trPr/>
        <w:tc>
          <w:tcPr>
            <w:tcW w:w="2416"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sz w:val="20"/>
              </w:rPr>
            </w:pPr>
            <w:r>
              <w:rPr>
                <w:i/>
                <w:sz w:val="20"/>
              </w:rPr>
              <w:t>Chemicals &amp; Products</w:t>
            </w:r>
          </w:p>
        </w:tc>
        <w:tc>
          <w:tcPr>
            <w:tcW w:w="105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Q2’26</w:t>
            </w:r>
          </w:p>
        </w:tc>
        <w:tc>
          <w:tcPr>
            <w:tcW w:w="2161"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sz w:val="20"/>
              </w:rPr>
            </w:pPr>
            <w:r>
              <w:rPr>
                <w:b/>
                <w:sz w:val="20"/>
              </w:rPr>
              <w:t>Q3’26 Updated Outlook</w:t>
            </w:r>
          </w:p>
        </w:tc>
      </w:tr>
      <w:tr>
        <w:trPr/>
        <w:tc>
          <w:tcPr>
            <w:tcW w:w="2416"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Indicative refining margin</w:t>
            </w:r>
          </w:p>
        </w:tc>
        <w:tc>
          <w:tcPr>
            <w:tcW w:w="105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$24/bbl</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$42/bbl</w:t>
            </w:r>
          </w:p>
        </w:tc>
      </w:tr>
      <w:tr>
        <w:trPr/>
        <w:tc>
          <w:tcPr>
            <w:tcW w:w="2416"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Indicative chemicals margin</w:t>
            </w:r>
          </w:p>
        </w:tc>
        <w:tc>
          <w:tcPr>
            <w:tcW w:w="105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$270/tonne</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$208/tonne</w:t>
            </w:r>
          </w:p>
        </w:tc>
      </w:tr>
    </w:tbl>
    <w:p>
      <w:pPr>
        <w:pStyle w:val="TextBody"/>
        <w:bidi w:val="0"/>
        <w:spacing w:before="0" w:after="283"/>
        <w:jc w:val="left"/>
        <w:rPr/>
      </w:pPr>
      <w:r>
        <w:rPr/>
        <w:t>Volume Data</w:t>
      </w:r>
    </w:p>
    <w:tbl>
      <w:tblPr>
        <w:tblW w:w="7354" w:type="dxa"/>
        <w:jc w:val="left"/>
        <w:tblInd w:w="-10" w:type="dxa"/>
        <w:tblLayout w:type="fixed"/>
        <w:tblCellMar>
          <w:top w:w="28" w:type="dxa"/>
          <w:left w:w="28" w:type="dxa"/>
          <w:bottom w:w="28" w:type="dxa"/>
          <w:right w:w="0" w:type="dxa"/>
        </w:tblCellMar>
      </w:tblPr>
      <w:tblGrid>
        <w:gridCol w:w="2746"/>
        <w:gridCol w:w="631"/>
        <w:gridCol w:w="1816"/>
        <w:gridCol w:w="2161"/>
      </w:tblGrid>
      <w:tr>
        <w:trPr/>
        <w:tc>
          <w:tcPr>
            <w:tcW w:w="2746"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sz w:val="20"/>
              </w:rPr>
            </w:pPr>
            <w:r>
              <w:rPr>
                <w:i/>
                <w:sz w:val="20"/>
              </w:rPr>
              <w:t>Operational Metrics</w:t>
            </w:r>
          </w:p>
        </w:tc>
        <w:tc>
          <w:tcPr>
            <w:tcW w:w="63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Q2’26</w:t>
            </w:r>
          </w:p>
        </w:tc>
        <w:tc>
          <w:tcPr>
            <w:tcW w:w="1816"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Q3’26 QPR Outlook</w:t>
            </w:r>
          </w:p>
        </w:tc>
        <w:tc>
          <w:tcPr>
            <w:tcW w:w="2161"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sz w:val="20"/>
              </w:rPr>
            </w:pPr>
            <w:r>
              <w:rPr>
                <w:b/>
                <w:sz w:val="20"/>
              </w:rPr>
              <w:t>Q3’26 Updated Outlook</w:t>
            </w:r>
          </w:p>
        </w:tc>
      </w:tr>
      <w:tr>
        <w:trPr/>
        <w:tc>
          <w:tcPr>
            <w:tcW w:w="2746" w:type="dxa"/>
            <w:tcBorders>
              <w:left w:val="single" w:sz="8" w:space="0" w:color="000000"/>
              <w:bottom w:val="single" w:sz="8" w:space="0" w:color="000000"/>
            </w:tcBorders>
            <w:tcMar>
              <w:top w:w="0" w:type="dxa"/>
            </w:tcMar>
            <w:vAlign w:val="center"/>
          </w:tcPr>
          <w:p>
            <w:pPr>
              <w:pStyle w:val="TableContents"/>
              <w:bidi w:val="0"/>
              <w:spacing w:before="0" w:after="283"/>
              <w:jc w:val="left"/>
              <w:rPr>
                <w:b/>
                <w:sz w:val="20"/>
              </w:rPr>
            </w:pPr>
            <w:r>
              <w:rPr>
                <w:b/>
                <w:sz w:val="20"/>
              </w:rPr>
              <w:t xml:space="preserve">Integrated Gas </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81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746"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Production (kboe/d)</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631</w:t>
            </w:r>
          </w:p>
        </w:tc>
        <w:tc>
          <w:tcPr>
            <w:tcW w:w="1816"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570 - 630*</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740 - 780</w:t>
            </w:r>
          </w:p>
        </w:tc>
      </w:tr>
      <w:tr>
        <w:trPr/>
        <w:tc>
          <w:tcPr>
            <w:tcW w:w="2746"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LNG liquefaction volumes (MT)</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7.7</w:t>
            </w:r>
          </w:p>
        </w:tc>
        <w:tc>
          <w:tcPr>
            <w:tcW w:w="1816"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7.1 - 7.7</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7.2 - 7.6</w:t>
            </w:r>
          </w:p>
        </w:tc>
      </w:tr>
      <w:tr>
        <w:trPr/>
        <w:tc>
          <w:tcPr>
            <w:tcW w:w="2746" w:type="dxa"/>
            <w:tcBorders>
              <w:left w:val="single" w:sz="8" w:space="0" w:color="000000"/>
              <w:bottom w:val="single" w:sz="8" w:space="0" w:color="000000"/>
            </w:tcBorders>
            <w:tcMar>
              <w:top w:w="0" w:type="dxa"/>
            </w:tcMar>
            <w:vAlign w:val="center"/>
          </w:tcPr>
          <w:p>
            <w:pPr>
              <w:pStyle w:val="TableContents"/>
              <w:bidi w:val="0"/>
              <w:spacing w:before="0" w:after="283"/>
              <w:jc w:val="left"/>
              <w:rPr>
                <w:b/>
                <w:sz w:val="20"/>
              </w:rPr>
            </w:pPr>
            <w:r>
              <w:rPr>
                <w:b/>
                <w:sz w:val="20"/>
              </w:rPr>
              <w:t>Upstream</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81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746"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Production (kboe/d)</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1,824</w:t>
            </w:r>
          </w:p>
        </w:tc>
        <w:tc>
          <w:tcPr>
            <w:tcW w:w="1816"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1,680 - 1,880</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1,735 - 1,835</w:t>
            </w:r>
          </w:p>
        </w:tc>
      </w:tr>
      <w:tr>
        <w:trPr/>
        <w:tc>
          <w:tcPr>
            <w:tcW w:w="2746" w:type="dxa"/>
            <w:tcBorders>
              <w:left w:val="single" w:sz="8" w:space="0" w:color="000000"/>
              <w:bottom w:val="single" w:sz="8" w:space="0" w:color="000000"/>
            </w:tcBorders>
            <w:tcMar>
              <w:top w:w="0" w:type="dxa"/>
            </w:tcMar>
            <w:vAlign w:val="center"/>
          </w:tcPr>
          <w:p>
            <w:pPr>
              <w:pStyle w:val="TableContents"/>
              <w:bidi w:val="0"/>
              <w:spacing w:before="0" w:after="283"/>
              <w:jc w:val="left"/>
              <w:rPr>
                <w:b/>
                <w:sz w:val="20"/>
              </w:rPr>
            </w:pPr>
            <w:r>
              <w:rPr>
                <w:b/>
                <w:sz w:val="20"/>
              </w:rPr>
              <w:t>Marketing</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81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746"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Sales volumes (kb/d)</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2,570</w:t>
            </w:r>
          </w:p>
        </w:tc>
        <w:tc>
          <w:tcPr>
            <w:tcW w:w="1816"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2,550 - 2,750</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2,550 - 2,650</w:t>
            </w:r>
          </w:p>
        </w:tc>
      </w:tr>
      <w:tr>
        <w:trPr/>
        <w:tc>
          <w:tcPr>
            <w:tcW w:w="2746" w:type="dxa"/>
            <w:tcBorders>
              <w:left w:val="single" w:sz="8" w:space="0" w:color="000000"/>
              <w:bottom w:val="single" w:sz="8" w:space="0" w:color="000000"/>
            </w:tcBorders>
            <w:tcMar>
              <w:top w:w="0" w:type="dxa"/>
            </w:tcMar>
            <w:vAlign w:val="center"/>
          </w:tcPr>
          <w:p>
            <w:pPr>
              <w:pStyle w:val="TableContents"/>
              <w:bidi w:val="0"/>
              <w:spacing w:before="0" w:after="283"/>
              <w:jc w:val="left"/>
              <w:rPr>
                <w:b/>
                <w:sz w:val="20"/>
              </w:rPr>
            </w:pPr>
            <w:r>
              <w:rPr>
                <w:b/>
                <w:sz w:val="20"/>
              </w:rPr>
              <w:t>Chemicals &amp; Products</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81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746"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Refinery utilisation</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102%</w:t>
            </w:r>
          </w:p>
        </w:tc>
        <w:tc>
          <w:tcPr>
            <w:tcW w:w="1816"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93% - 101%</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93% - 97%</w:t>
            </w:r>
          </w:p>
        </w:tc>
      </w:tr>
      <w:tr>
        <w:trPr/>
        <w:tc>
          <w:tcPr>
            <w:tcW w:w="2746"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Chemicals utilisation</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83%</w:t>
            </w:r>
          </w:p>
        </w:tc>
        <w:tc>
          <w:tcPr>
            <w:tcW w:w="1816"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78% - 86%</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81% - 85%</w:t>
            </w:r>
          </w:p>
        </w:tc>
      </w:tr>
    </w:tbl>
    <w:p>
      <w:pPr>
        <w:pStyle w:val="TextBody"/>
        <w:bidi w:val="0"/>
        <w:spacing w:before="0" w:after="283"/>
        <w:jc w:val="left"/>
        <w:rPr/>
      </w:pPr>
      <w:r>
        <w:rPr/>
        <w:t>*Q3’26 QPR production outlook excluded volumes from ARC Resources and Qatar.</w:t>
      </w:r>
    </w:p>
    <w:p>
      <w:pPr>
        <w:pStyle w:val="TextBody"/>
        <w:bidi w:val="0"/>
        <w:spacing w:before="0" w:after="283"/>
        <w:jc w:val="left"/>
        <w:rPr/>
      </w:pPr>
      <w:r>
        <w:rPr/>
        <w:t>Underlying Opex</w:t>
      </w:r>
    </w:p>
    <w:p>
      <w:pPr>
        <w:pStyle w:val="TextBody"/>
        <w:bidi w:val="0"/>
        <w:spacing w:before="0" w:after="283"/>
        <w:jc w:val="left"/>
        <w:rPr/>
      </w:pPr>
      <w:r>
        <w:rPr/>
        <w:t>Underlying operating expenses is a measure aimed at facilitating a comparative understanding of performance from period to period by removing the effects of identified items, which, either individually or collectively, can cause volatility, in some cases driven by external factors. Underlying operating expenses comprises the following items from the Consolidated statement of Income: production and manufacturing expenses; selling, distribution and administrative expenses; and research and development expenses and removes the effects of identified items such as redundancy and restructuring charges or reversals, provisions or reversals and others. For further details see the 2nd Quarter 2026 and half year unaudited results.</w:t>
      </w:r>
    </w:p>
    <w:tbl>
      <w:tblPr>
        <w:tblW w:w="8299" w:type="dxa"/>
        <w:jc w:val="left"/>
        <w:tblInd w:w="-10" w:type="dxa"/>
        <w:tblLayout w:type="fixed"/>
        <w:tblCellMar>
          <w:top w:w="28" w:type="dxa"/>
          <w:left w:w="28" w:type="dxa"/>
          <w:bottom w:w="28" w:type="dxa"/>
          <w:right w:w="0" w:type="dxa"/>
        </w:tblCellMar>
      </w:tblPr>
      <w:tblGrid>
        <w:gridCol w:w="4096"/>
        <w:gridCol w:w="631"/>
        <w:gridCol w:w="1411"/>
        <w:gridCol w:w="2161"/>
      </w:tblGrid>
      <w:tr>
        <w:trPr/>
        <w:tc>
          <w:tcPr>
            <w:tcW w:w="4096"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sz w:val="20"/>
              </w:rPr>
            </w:pPr>
            <w:r>
              <w:rPr>
                <w:i/>
                <w:sz w:val="20"/>
              </w:rPr>
              <w:t>$ billions</w:t>
            </w:r>
          </w:p>
        </w:tc>
        <w:tc>
          <w:tcPr>
            <w:tcW w:w="63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Q2’26</w:t>
            </w:r>
          </w:p>
        </w:tc>
        <w:tc>
          <w:tcPr>
            <w:tcW w:w="141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Q2’26 Adjusted</w:t>
            </w:r>
          </w:p>
        </w:tc>
        <w:tc>
          <w:tcPr>
            <w:tcW w:w="2161"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sz w:val="20"/>
              </w:rPr>
            </w:pPr>
            <w:r>
              <w:rPr>
                <w:b/>
                <w:sz w:val="20"/>
              </w:rPr>
              <w:t>Q3’26 Updated Outlook</w:t>
            </w:r>
          </w:p>
        </w:tc>
      </w:tr>
      <w:tr>
        <w:trPr/>
        <w:tc>
          <w:tcPr>
            <w:tcW w:w="4096"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Production and manufacturing expenses</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5.5</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096"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Selling, distribution and administrative expenses</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2.9</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096"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Research and development</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0.3</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096" w:type="dxa"/>
            <w:tcBorders>
              <w:left w:val="single" w:sz="8" w:space="0" w:color="000000"/>
              <w:bottom w:val="single" w:sz="8" w:space="0" w:color="000000"/>
            </w:tcBorders>
            <w:tcMar>
              <w:top w:w="0" w:type="dxa"/>
            </w:tcMar>
            <w:vAlign w:val="center"/>
          </w:tcPr>
          <w:p>
            <w:pPr>
              <w:pStyle w:val="TableContents"/>
              <w:bidi w:val="0"/>
              <w:spacing w:before="0" w:after="283"/>
              <w:jc w:val="left"/>
              <w:rPr>
                <w:b/>
                <w:sz w:val="20"/>
              </w:rPr>
            </w:pPr>
            <w:r>
              <w:rPr>
                <w:b/>
                <w:sz w:val="20"/>
              </w:rPr>
              <w:t>Operating Expenses (Opex)</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8.7</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8.7</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096"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Less: Identified Items</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0.2</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096" w:type="dxa"/>
            <w:tcBorders>
              <w:left w:val="single" w:sz="8" w:space="0" w:color="000000"/>
              <w:bottom w:val="single" w:sz="8" w:space="0" w:color="000000"/>
            </w:tcBorders>
            <w:tcMar>
              <w:top w:w="0" w:type="dxa"/>
            </w:tcMar>
            <w:vAlign w:val="center"/>
          </w:tcPr>
          <w:p>
            <w:pPr>
              <w:pStyle w:val="TableContents"/>
              <w:bidi w:val="0"/>
              <w:spacing w:before="0" w:after="283"/>
              <w:jc w:val="left"/>
              <w:rPr>
                <w:b/>
                <w:sz w:val="20"/>
              </w:rPr>
            </w:pPr>
            <w:r>
              <w:rPr>
                <w:b/>
                <w:sz w:val="20"/>
              </w:rPr>
              <w:t>Underlying Opex</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8.4</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09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sz w:val="20"/>
              </w:rPr>
              <w:t>of which:</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09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sz w:val="20"/>
              </w:rPr>
              <w:t>Integrated Gas</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1.1</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1.1</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1.3 - 1.5</w:t>
            </w:r>
          </w:p>
        </w:tc>
      </w:tr>
      <w:tr>
        <w:trPr/>
        <w:tc>
          <w:tcPr>
            <w:tcW w:w="409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sz w:val="20"/>
              </w:rPr>
              <w:t>Upstream</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2.2</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2.2</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2.1 - 2.5</w:t>
            </w:r>
          </w:p>
        </w:tc>
      </w:tr>
      <w:tr>
        <w:trPr/>
        <w:tc>
          <w:tcPr>
            <w:tcW w:w="409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sz w:val="20"/>
              </w:rPr>
              <w:t>Marketing</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2.5</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2.5</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2.3 - 2.7</w:t>
            </w:r>
          </w:p>
        </w:tc>
      </w:tr>
      <w:tr>
        <w:trPr/>
        <w:tc>
          <w:tcPr>
            <w:tcW w:w="409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sz w:val="20"/>
              </w:rPr>
              <w:t>Chemicals and Products</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2.0</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1.9</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1.7 - 2.1</w:t>
            </w:r>
          </w:p>
        </w:tc>
      </w:tr>
      <w:tr>
        <w:trPr/>
        <w:tc>
          <w:tcPr>
            <w:tcW w:w="409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sz w:val="20"/>
              </w:rPr>
              <w:t>Renewables and Energy Solutions</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0.6</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0.6</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Depreciation, depletion and amortisation</w:t>
      </w:r>
    </w:p>
    <w:tbl>
      <w:tblPr>
        <w:tblW w:w="7699" w:type="dxa"/>
        <w:jc w:val="left"/>
        <w:tblInd w:w="-10" w:type="dxa"/>
        <w:tblLayout w:type="fixed"/>
        <w:tblCellMar>
          <w:top w:w="28" w:type="dxa"/>
          <w:left w:w="28" w:type="dxa"/>
          <w:bottom w:w="28" w:type="dxa"/>
          <w:right w:w="0" w:type="dxa"/>
        </w:tblCellMar>
      </w:tblPr>
      <w:tblGrid>
        <w:gridCol w:w="3496"/>
        <w:gridCol w:w="631"/>
        <w:gridCol w:w="1411"/>
        <w:gridCol w:w="2161"/>
      </w:tblGrid>
      <w:tr>
        <w:trPr/>
        <w:tc>
          <w:tcPr>
            <w:tcW w:w="3496"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sz w:val="20"/>
              </w:rPr>
            </w:pPr>
            <w:r>
              <w:rPr>
                <w:i/>
                <w:sz w:val="20"/>
              </w:rPr>
              <w:t>$ billions</w:t>
            </w:r>
          </w:p>
        </w:tc>
        <w:tc>
          <w:tcPr>
            <w:tcW w:w="63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Q2’26</w:t>
            </w:r>
          </w:p>
        </w:tc>
        <w:tc>
          <w:tcPr>
            <w:tcW w:w="141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Q2’26 Adjusted</w:t>
            </w:r>
          </w:p>
        </w:tc>
        <w:tc>
          <w:tcPr>
            <w:tcW w:w="2161"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sz w:val="20"/>
              </w:rPr>
            </w:pPr>
            <w:r>
              <w:rPr>
                <w:b/>
                <w:sz w:val="20"/>
              </w:rPr>
              <w:t>Q3’26 Updated Outlook</w:t>
            </w:r>
          </w:p>
        </w:tc>
      </w:tr>
      <w:tr>
        <w:trPr/>
        <w:tc>
          <w:tcPr>
            <w:tcW w:w="3496" w:type="dxa"/>
            <w:tcBorders>
              <w:left w:val="single" w:sz="8" w:space="0" w:color="000000"/>
              <w:bottom w:val="single" w:sz="8" w:space="0" w:color="000000"/>
            </w:tcBorders>
            <w:tcMar>
              <w:top w:w="0" w:type="dxa"/>
            </w:tcMar>
            <w:vAlign w:val="center"/>
          </w:tcPr>
          <w:p>
            <w:pPr>
              <w:pStyle w:val="TableContents"/>
              <w:bidi w:val="0"/>
              <w:spacing w:before="0" w:after="283"/>
              <w:jc w:val="left"/>
              <w:rPr>
                <w:b/>
                <w:sz w:val="20"/>
              </w:rPr>
            </w:pPr>
            <w:r>
              <w:rPr>
                <w:b/>
                <w:sz w:val="20"/>
              </w:rPr>
              <w:t>Depreciation, Depletion &amp; Amortisation</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6.2</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6.2</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3496"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Less: Identified Items</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0.6</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3496" w:type="dxa"/>
            <w:tcBorders>
              <w:left w:val="single" w:sz="8" w:space="0" w:color="000000"/>
              <w:bottom w:val="single" w:sz="8" w:space="0" w:color="000000"/>
            </w:tcBorders>
            <w:tcMar>
              <w:top w:w="0" w:type="dxa"/>
            </w:tcMar>
            <w:vAlign w:val="center"/>
          </w:tcPr>
          <w:p>
            <w:pPr>
              <w:pStyle w:val="TableContents"/>
              <w:bidi w:val="0"/>
              <w:spacing w:before="0" w:after="283"/>
              <w:jc w:val="left"/>
              <w:rPr>
                <w:b/>
                <w:sz w:val="20"/>
              </w:rPr>
            </w:pPr>
            <w:r>
              <w:rPr>
                <w:b/>
                <w:sz w:val="20"/>
              </w:rPr>
              <w:t>Pre-tax depreciation (as Adjusted)</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5.6</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349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sz w:val="20"/>
              </w:rPr>
              <w:t>of which:</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349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sz w:val="20"/>
              </w:rPr>
              <w:t>Integrated Gas</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1.2</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1.2</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1.1 - 1.5</w:t>
            </w:r>
          </w:p>
        </w:tc>
      </w:tr>
      <w:tr>
        <w:trPr/>
        <w:tc>
          <w:tcPr>
            <w:tcW w:w="349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sz w:val="20"/>
              </w:rPr>
              <w:t>Upstream</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2.5</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2.5</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2.2 - 2.8</w:t>
            </w:r>
          </w:p>
        </w:tc>
      </w:tr>
      <w:tr>
        <w:trPr/>
        <w:tc>
          <w:tcPr>
            <w:tcW w:w="349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sz w:val="20"/>
              </w:rPr>
              <w:t>Marketing</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0.6</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0.6</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0.5 - 0.7</w:t>
            </w:r>
          </w:p>
        </w:tc>
      </w:tr>
      <w:tr>
        <w:trPr/>
        <w:tc>
          <w:tcPr>
            <w:tcW w:w="349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sz w:val="20"/>
              </w:rPr>
              <w:t>Chemicals and Products</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1.2</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1.1</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1.1 - 1.3</w:t>
            </w:r>
          </w:p>
        </w:tc>
      </w:tr>
      <w:tr>
        <w:trPr/>
        <w:tc>
          <w:tcPr>
            <w:tcW w:w="349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sz w:val="20"/>
              </w:rPr>
              <w:t>Renewables and Energy Solutions</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0.7</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0.1</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Taxation Charge</w:t>
      </w:r>
    </w:p>
    <w:tbl>
      <w:tblPr>
        <w:tblW w:w="8704" w:type="dxa"/>
        <w:jc w:val="left"/>
        <w:tblInd w:w="-10" w:type="dxa"/>
        <w:tblLayout w:type="fixed"/>
        <w:tblCellMar>
          <w:top w:w="28" w:type="dxa"/>
          <w:left w:w="28" w:type="dxa"/>
          <w:bottom w:w="28" w:type="dxa"/>
          <w:right w:w="0" w:type="dxa"/>
        </w:tblCellMar>
      </w:tblPr>
      <w:tblGrid>
        <w:gridCol w:w="4501"/>
        <w:gridCol w:w="631"/>
        <w:gridCol w:w="1411"/>
        <w:gridCol w:w="2161"/>
      </w:tblGrid>
      <w:tr>
        <w:trPr/>
        <w:tc>
          <w:tcPr>
            <w:tcW w:w="4501"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sz w:val="20"/>
              </w:rPr>
            </w:pPr>
            <w:r>
              <w:rPr>
                <w:i/>
                <w:sz w:val="20"/>
              </w:rPr>
              <w:t>$ billions</w:t>
            </w:r>
          </w:p>
        </w:tc>
        <w:tc>
          <w:tcPr>
            <w:tcW w:w="63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Q2’26</w:t>
            </w:r>
          </w:p>
        </w:tc>
        <w:tc>
          <w:tcPr>
            <w:tcW w:w="141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Q2’26 Adjusted</w:t>
            </w:r>
          </w:p>
        </w:tc>
        <w:tc>
          <w:tcPr>
            <w:tcW w:w="2161"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sz w:val="20"/>
              </w:rPr>
            </w:pPr>
            <w:r>
              <w:rPr>
                <w:b/>
                <w:sz w:val="20"/>
              </w:rPr>
              <w:t>Q3’26 Updated Outlook</w:t>
            </w:r>
          </w:p>
        </w:tc>
      </w:tr>
      <w:tr>
        <w:trPr/>
        <w:tc>
          <w:tcPr>
            <w:tcW w:w="4501" w:type="dxa"/>
            <w:tcBorders>
              <w:left w:val="single" w:sz="8" w:space="0" w:color="000000"/>
              <w:bottom w:val="single" w:sz="8" w:space="0" w:color="000000"/>
            </w:tcBorders>
            <w:tcMar>
              <w:top w:w="0" w:type="dxa"/>
            </w:tcMar>
            <w:vAlign w:val="center"/>
          </w:tcPr>
          <w:p>
            <w:pPr>
              <w:pStyle w:val="TableContents"/>
              <w:bidi w:val="0"/>
              <w:spacing w:before="0" w:after="283"/>
              <w:jc w:val="left"/>
              <w:rPr>
                <w:b/>
                <w:sz w:val="20"/>
              </w:rPr>
            </w:pPr>
            <w:r>
              <w:rPr>
                <w:b/>
                <w:sz w:val="20"/>
              </w:rPr>
              <w:t>Taxation Charge</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4.9</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4.9</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501"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Less: Identified Items and Cost of supplies adjustment</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0.4</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501" w:type="dxa"/>
            <w:tcBorders>
              <w:left w:val="single" w:sz="8" w:space="0" w:color="000000"/>
              <w:bottom w:val="single" w:sz="8" w:space="0" w:color="000000"/>
            </w:tcBorders>
            <w:tcMar>
              <w:top w:w="0" w:type="dxa"/>
            </w:tcMar>
            <w:vAlign w:val="center"/>
          </w:tcPr>
          <w:p>
            <w:pPr>
              <w:pStyle w:val="TableContents"/>
              <w:bidi w:val="0"/>
              <w:spacing w:before="0" w:after="283"/>
              <w:jc w:val="left"/>
              <w:rPr>
                <w:b/>
                <w:sz w:val="20"/>
              </w:rPr>
            </w:pPr>
            <w:r>
              <w:rPr>
                <w:b/>
                <w:sz w:val="20"/>
              </w:rPr>
              <w:t>Taxation Charge (as Adjusted)</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4.5</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50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sz w:val="20"/>
              </w:rPr>
              <w:t>of which:</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50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sz w:val="20"/>
              </w:rPr>
              <w:t>Integrated Gas</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0.8</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0.8</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0.6 - 0.9</w:t>
            </w:r>
          </w:p>
        </w:tc>
      </w:tr>
      <w:tr>
        <w:trPr/>
        <w:tc>
          <w:tcPr>
            <w:tcW w:w="450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sz w:val="20"/>
              </w:rPr>
              <w:t>Upstream</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2.7</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2.8</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2.5 - 3.3</w:t>
            </w:r>
          </w:p>
        </w:tc>
      </w:tr>
      <w:tr>
        <w:trPr/>
        <w:tc>
          <w:tcPr>
            <w:tcW w:w="450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sz w:val="20"/>
              </w:rPr>
              <w:t>Marketing</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0.7</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0.4</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0.2 - 0.5</w:t>
            </w:r>
          </w:p>
        </w:tc>
      </w:tr>
      <w:tr>
        <w:trPr/>
        <w:tc>
          <w:tcPr>
            <w:tcW w:w="450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sz w:val="20"/>
              </w:rPr>
              <w:t>Chemicals and Products</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1.0</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0.6</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1.0 - 1.5</w:t>
            </w:r>
          </w:p>
        </w:tc>
      </w:tr>
      <w:tr>
        <w:trPr/>
        <w:tc>
          <w:tcPr>
            <w:tcW w:w="450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sz w:val="20"/>
              </w:rPr>
              <w:t>Renewables and Energy Solutions</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(0.1)</w:t>
            </w:r>
          </w:p>
        </w:tc>
        <w:tc>
          <w:tcPr>
            <w:tcW w:w="141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p>
        </w:tc>
        <w:tc>
          <w:tcPr>
            <w:tcW w:w="216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Adjusted Earnings</w:t>
      </w:r>
    </w:p>
    <w:p>
      <w:pPr>
        <w:pStyle w:val="TextBody"/>
        <w:bidi w:val="0"/>
        <w:spacing w:before="0" w:after="283"/>
        <w:jc w:val="left"/>
        <w:rPr/>
      </w:pPr>
      <w:r>
        <w:rPr/>
        <w:t>The “Adjusted Earnings” measure aims to facilitate a comparative understanding of Shell’s financial performance from period to period by removing the effects of oil price changes on inventory carrying amounts and removing the effects of identified items. These items are in some cases driven by external factors and may, either individually or collectively, hinder the comparative understanding of Shell’s financial results from period to period. This measure excludes earnings attributable to non-controlling interest. For further details see the 2nd Quarter 2026 and half year unaudited results.</w:t>
      </w:r>
    </w:p>
    <w:tbl>
      <w:tblPr>
        <w:tblW w:w="10205" w:type="dxa"/>
        <w:jc w:val="left"/>
        <w:tblInd w:w="-10" w:type="dxa"/>
        <w:tblLayout w:type="fixed"/>
        <w:tblCellMar>
          <w:top w:w="28" w:type="dxa"/>
          <w:left w:w="28" w:type="dxa"/>
          <w:bottom w:w="28" w:type="dxa"/>
          <w:right w:w="0" w:type="dxa"/>
        </w:tblCellMar>
      </w:tblPr>
      <w:tblGrid>
        <w:gridCol w:w="6124"/>
        <w:gridCol w:w="631"/>
        <w:gridCol w:w="1373"/>
        <w:gridCol w:w="2077"/>
      </w:tblGrid>
      <w:tr>
        <w:trPr/>
        <w:tc>
          <w:tcPr>
            <w:tcW w:w="6124"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sz w:val="20"/>
              </w:rPr>
            </w:pPr>
            <w:r>
              <w:rPr>
                <w:i/>
                <w:sz w:val="20"/>
              </w:rPr>
              <w:t>$ billions</w:t>
            </w:r>
          </w:p>
        </w:tc>
        <w:tc>
          <w:tcPr>
            <w:tcW w:w="63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Q2’26</w:t>
            </w:r>
          </w:p>
        </w:tc>
        <w:tc>
          <w:tcPr>
            <w:tcW w:w="1373"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Q2’26 Adjusted</w:t>
            </w:r>
          </w:p>
        </w:tc>
        <w:tc>
          <w:tcPr>
            <w:tcW w:w="2077"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sz w:val="20"/>
              </w:rPr>
            </w:pPr>
            <w:r>
              <w:rPr>
                <w:b/>
                <w:sz w:val="20"/>
              </w:rPr>
              <w:t>Q3’26 Updated Outlook</w:t>
            </w:r>
          </w:p>
        </w:tc>
      </w:tr>
      <w:tr>
        <w:trPr/>
        <w:tc>
          <w:tcPr>
            <w:tcW w:w="6124" w:type="dxa"/>
            <w:tcBorders>
              <w:left w:val="single" w:sz="8" w:space="0" w:color="000000"/>
              <w:bottom w:val="single" w:sz="8" w:space="0" w:color="000000"/>
            </w:tcBorders>
            <w:tcMar>
              <w:top w:w="0" w:type="dxa"/>
            </w:tcMar>
            <w:vAlign w:val="center"/>
          </w:tcPr>
          <w:p>
            <w:pPr>
              <w:pStyle w:val="TableContents"/>
              <w:bidi w:val="0"/>
              <w:spacing w:before="0" w:after="283"/>
              <w:jc w:val="left"/>
              <w:rPr>
                <w:b/>
                <w:sz w:val="20"/>
              </w:rPr>
            </w:pPr>
            <w:r>
              <w:rPr>
                <w:b/>
                <w:sz w:val="20"/>
              </w:rPr>
              <w:t>Income/(loss) attributable to Shell plc shareholders</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10.8</w:t>
            </w:r>
          </w:p>
        </w:tc>
        <w:tc>
          <w:tcPr>
            <w:tcW w:w="1373"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10.8</w:t>
            </w:r>
          </w:p>
        </w:tc>
        <w:tc>
          <w:tcPr>
            <w:tcW w:w="2077"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6124"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Add: Current cost of supplies adjustment attributable to Shell plc shareholders</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373"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(0.6)</w:t>
            </w:r>
          </w:p>
        </w:tc>
        <w:tc>
          <w:tcPr>
            <w:tcW w:w="2077"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6124"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Less: Identified items attributable to Shell plc shareholders</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373"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0.4</w:t>
            </w:r>
          </w:p>
        </w:tc>
        <w:tc>
          <w:tcPr>
            <w:tcW w:w="2077"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6124" w:type="dxa"/>
            <w:tcBorders>
              <w:left w:val="single" w:sz="8" w:space="0" w:color="000000"/>
              <w:bottom w:val="single" w:sz="8" w:space="0" w:color="000000"/>
            </w:tcBorders>
            <w:tcMar>
              <w:top w:w="0" w:type="dxa"/>
            </w:tcMar>
            <w:vAlign w:val="center"/>
          </w:tcPr>
          <w:p>
            <w:pPr>
              <w:pStyle w:val="TableContents"/>
              <w:bidi w:val="0"/>
              <w:spacing w:before="0" w:after="283"/>
              <w:jc w:val="left"/>
              <w:rPr>
                <w:b/>
                <w:sz w:val="20"/>
              </w:rPr>
            </w:pPr>
            <w:r>
              <w:rPr>
                <w:b/>
                <w:sz w:val="20"/>
              </w:rPr>
              <w:t>Adjusted Earnings</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373"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9.8</w:t>
            </w:r>
          </w:p>
        </w:tc>
        <w:tc>
          <w:tcPr>
            <w:tcW w:w="2077"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6124"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sz w:val="20"/>
              </w:rPr>
              <w:t>of which:</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373"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077"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6124"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sz w:val="20"/>
              </w:rPr>
              <w:t>Renewables and Energy Solutions</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(0.6)</w:t>
            </w:r>
          </w:p>
        </w:tc>
        <w:tc>
          <w:tcPr>
            <w:tcW w:w="1373"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0.1</w:t>
            </w:r>
          </w:p>
        </w:tc>
        <w:tc>
          <w:tcPr>
            <w:tcW w:w="2077"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0.0 - 0.4</w:t>
            </w:r>
          </w:p>
        </w:tc>
      </w:tr>
      <w:tr>
        <w:trPr/>
        <w:tc>
          <w:tcPr>
            <w:tcW w:w="6124"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sz w:val="20"/>
              </w:rPr>
              <w:t>Corporate</w:t>
            </w:r>
          </w:p>
        </w:tc>
        <w:tc>
          <w:tcPr>
            <w:tcW w:w="63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(0.6)</w:t>
            </w:r>
          </w:p>
        </w:tc>
        <w:tc>
          <w:tcPr>
            <w:tcW w:w="1373"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(0.6)</w:t>
            </w:r>
          </w:p>
        </w:tc>
        <w:tc>
          <w:tcPr>
            <w:tcW w:w="2077"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(0.8) - (0.6)</w:t>
            </w:r>
          </w:p>
        </w:tc>
      </w:tr>
    </w:tbl>
    <w:p>
      <w:pPr>
        <w:pStyle w:val="TextBody"/>
        <w:bidi w:val="0"/>
        <w:spacing w:before="0" w:after="283"/>
        <w:jc w:val="left"/>
        <w:rPr/>
      </w:pPr>
      <w:r>
        <w:rPr/>
        <w:t>Working Capital</w:t>
      </w:r>
    </w:p>
    <w:p>
      <w:pPr>
        <w:pStyle w:val="TextBody"/>
        <w:bidi w:val="0"/>
        <w:spacing w:before="0" w:after="283"/>
        <w:jc w:val="left"/>
        <w:rPr/>
      </w:pPr>
      <w:r>
        <w:rPr/>
        <w:t xml:space="preserve">Working capital movements are defined as the sum of the following items in the Consolidated Statement of Cash Flows: (i) (increase)/decrease in inventories, (ii) (increase)/decrease in current receivables, and (iii) increase/(decrease) in current payables. </w:t>
      </w:r>
    </w:p>
    <w:p>
      <w:pPr>
        <w:pStyle w:val="TextBody"/>
        <w:bidi w:val="0"/>
        <w:spacing w:before="0" w:after="283"/>
        <w:jc w:val="left"/>
        <w:rPr/>
      </w:pPr>
      <w:r>
        <w:rPr/>
        <w:t>Net Debt</w:t>
      </w:r>
    </w:p>
    <w:p>
      <w:pPr>
        <w:pStyle w:val="TextBody"/>
        <w:bidi w:val="0"/>
        <w:spacing w:before="0" w:after="283"/>
        <w:jc w:val="left"/>
        <w:rPr/>
      </w:pPr>
      <w:r>
        <w:rPr/>
        <w:t xml:space="preserve">Net debt is defined as the sum of current and non-current debt, less cash and cash equivalents, adjusted for the fair value of derivative financial instruments used to hedge foreign exchange and interest rate risks relating to debt, and associated collateral balances. </w:t>
      </w:r>
    </w:p>
    <w:p>
      <w:pPr>
        <w:pStyle w:val="TextBody"/>
        <w:bidi w:val="0"/>
        <w:jc w:val="left"/>
        <w:rPr>
          <w:b/>
        </w:rPr>
      </w:pPr>
      <w:r>
        <w:rPr>
          <w:b/>
        </w:rPr>
        <w:t>Enquiries</w:t>
      </w:r>
    </w:p>
    <w:p>
      <w:pPr>
        <w:pStyle w:val="TextBody"/>
        <w:bidi w:val="0"/>
        <w:spacing w:before="0" w:after="283"/>
        <w:jc w:val="left"/>
        <w:rPr/>
      </w:pPr>
      <w:r>
        <w:rPr/>
        <w:t>Media International: +44 (0) 207 934 5550</w:t>
      </w:r>
    </w:p>
    <w:p>
      <w:pPr>
        <w:pStyle w:val="TextBody"/>
        <w:bidi w:val="0"/>
        <w:spacing w:before="0" w:after="283"/>
        <w:jc w:val="left"/>
        <w:rPr/>
      </w:pPr>
      <w:r>
        <w:rPr/>
        <w:t>Media U.S. and Canada: Contact form</w:t>
      </w:r>
    </w:p>
    <w:p>
      <w:pPr>
        <w:pStyle w:val="TextBody"/>
        <w:bidi w:val="0"/>
        <w:jc w:val="left"/>
        <w:rPr>
          <w:b/>
        </w:rPr>
      </w:pPr>
      <w:r>
        <w:rPr>
          <w:b/>
        </w:rPr>
        <w:t>Cautionary Note</w:t>
      </w:r>
    </w:p>
    <w:p>
      <w:pPr>
        <w:pStyle w:val="TextBody"/>
        <w:bidi w:val="0"/>
        <w:spacing w:before="0" w:after="283"/>
        <w:jc w:val="left"/>
        <w:rPr/>
      </w:pPr>
      <w:r>
        <w:rPr/>
        <w:t>The companies in which Shell plc directly and indirectly owns investments are separate legal entities. In this announcement “Shell”, “Shell Group” and “Group” are sometimes used for convenience to reference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announcement refer to entities over which Shell plc either directly or indirectly has control. The terms “joint venture”, “joint operations”, “joint arrangements”, and “associates” may also be used to refer to a commercial arrangement in which Shell has a direct or indirect ownership interest with one or more parties.  The term “Shell interest” is used for convenience to indicate the direct and/or indirect ownership interest held by Shell in an entity or unincorporated joint arrangement, after exclusion of all third-party interest.</w:t>
      </w:r>
    </w:p>
    <w:p>
      <w:pPr>
        <w:pStyle w:val="TextBody"/>
        <w:bidi w:val="0"/>
        <w:jc w:val="both"/>
        <w:rPr/>
      </w:pPr>
      <w:r>
        <w:rPr/>
        <w:t>The numbers presented in this announcement may not sum precisely to the totals provided and percentages may not precisely reflect the absolute figures due to rounding.</w:t>
      </w:r>
    </w:p>
    <w:p>
      <w:pPr>
        <w:pStyle w:val="TextBody"/>
        <w:bidi w:val="0"/>
        <w:jc w:val="both"/>
        <w:rPr/>
      </w:pPr>
      <w:r>
        <w:rPr>
          <w:b/>
          <w:u w:val="single"/>
        </w:rPr>
        <w:t>Forward-Looking statements</w:t>
      </w:r>
      <w:r>
        <w:rPr/>
        <w:br/>
        <w:t>This announcement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including (without limitation) those concerning Shell’s strategy and operating plans, macroeconomic conditions, future energy demand, supply and product mix, commodity prices, demand for Shell’s products, production results and reserve estimates, development, execution and management of projects, energy transition and climate change, management of safety and environmental risks, costs, cash capital expenditures, technology advancements, legislative, judicial, fiscal and regulatory developments, regional conflicts and trading conditions,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Shell and could cause those results to differ materially from those expressed in the forward-looking statements included in this announcement,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including climate change;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tariffs and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regional conflicts, such as the Russia-Ukraine war and the conflict in the Middle East, and a significant cyber security, data privacy or IT incident; (n) the pace of the energy transition; and (o) changes in trading conditions. No assurance is provided that future dividend payments will match or exceed previous dividend payments. All forward-looking statements contained in this announcement are expressly qualified in their entirety by the cautionary statements contained or referred to in this section. Readers should not place undue reliance on forward-looking statements. Additional risk factors that may affect future results are contained in Shell plc’s Form 20-F for the year ended December 31, 2025 (available at www.shell.com/investors/news-and-filings/sec-filings.html and www.sec.gov). These risk factors also expressly qualify all forward-looking statements contained in this announcement and should be considered by the reader. Each forward-looking statement speaks only as of the date of this announcement, October 7, 2026.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announcement.</w:t>
      </w:r>
    </w:p>
    <w:p>
      <w:pPr>
        <w:pStyle w:val="TextBody"/>
        <w:bidi w:val="0"/>
        <w:spacing w:before="0" w:after="283"/>
        <w:jc w:val="left"/>
        <w:rPr/>
      </w:pPr>
      <w:r>
        <w:rPr>
          <w:b/>
          <w:u w:val="single"/>
        </w:rPr>
        <w:t>Shell’s net carbon intensity and net-zero emissions target</w:t>
      </w:r>
      <w:r>
        <w:rPr/>
        <w:br/>
        <w:t>In this announcement we may refer to Shell’s “net carbon intensity” (NCI), which includes Shell’s carbon emissions from the production of our energy products, our suppliers’ carbon emissions in supplying energy for that production and our customers’ carbon emissions associated with their use of the energy products we sell. Shell’s NCI also includes the emissions associated with the production and use of energy products produced by others which Shell purchases for resale. Shell only controls its own emissions. The use of the terms Shell’s “net carbon intensity” or NCI is for convenience only and not intended to suggest these emissions are those of Shell plc or its subsidiaries.</w:t>
      </w:r>
    </w:p>
    <w:p>
      <w:pPr>
        <w:pStyle w:val="TextBody"/>
        <w:bidi w:val="0"/>
        <w:spacing w:before="0" w:after="283"/>
        <w:jc w:val="left"/>
        <w:rPr/>
      </w:pPr>
      <w:r>
        <w:rPr/>
        <w:t xml:space="preserve">Shell’s operating plan and outlook are forecasted for a three-year period and ten-year period, respectively, and are updated every year. They reflect the current economic environment and what we can reasonably expect to see over the next three and ten years. Accordingly, the outlook reflects our combined Scope 1 and 2 target, NCI targets and our oil products ambition over the next ten years. However, Shell’s operating plan and outlook cannot reflect our 2050 net-zero emissions target, as this target is outside our planning period. Such future operating plans and outlooks could include changes to our portfolio, efficiency improvements and the use of carbon capture and storage and carbon credits. In the future, as society moves towards net-zero emissions, we expect Shell’s operating plans and outlooks to reflect this movement. However, if society is not net zero in 2050, as of today, there would be significant risk that Shell may not meet this target. </w:t>
      </w:r>
    </w:p>
    <w:p>
      <w:pPr>
        <w:pStyle w:val="TextBody"/>
        <w:bidi w:val="0"/>
        <w:spacing w:before="0" w:after="283"/>
        <w:jc w:val="left"/>
        <w:rPr/>
      </w:pPr>
      <w:r>
        <w:rPr/>
        <w:t>The information provided above regarding Shell’s NCI and net zero emissions target are not intended, nor should they be construed as introducing, suggesting or making any claim, target or representation thereof other than what is included in the announcement.</w:t>
      </w:r>
    </w:p>
    <w:p>
      <w:pPr>
        <w:pStyle w:val="TextBody"/>
        <w:bidi w:val="0"/>
        <w:jc w:val="left"/>
        <w:rPr>
          <w:b/>
          <w:u w:val="single"/>
        </w:rPr>
      </w:pPr>
      <w:r>
        <w:rPr>
          <w:b/>
          <w:u w:val="single"/>
        </w:rPr>
        <w:t>Forward-Looking Non-GAAP measures</w:t>
      </w:r>
    </w:p>
    <w:p>
      <w:pPr>
        <w:pStyle w:val="TextBody"/>
        <w:bidi w:val="0"/>
        <w:jc w:val="both"/>
        <w:rPr/>
      </w:pPr>
      <w:r>
        <w:rPr/>
        <w:t>This announcement may contain certain forward-looking non-GAAP measures such as Adjusted Earnings, Cash flow from operating activities excluding working capital movements, Net debt and Underlying operating expense.</w:t>
      </w:r>
    </w:p>
    <w:p>
      <w:pPr>
        <w:pStyle w:val="TextBody"/>
        <w:bidi w:val="0"/>
        <w:spacing w:before="0" w:after="283"/>
        <w:jc w:val="left"/>
        <w:rPr/>
      </w:pPr>
      <w:r>
        <w:rPr/>
        <w:t xml:space="preserve">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Shell, such as oil and gas prices, interest rates and exchange rates. Moreover, estimating such GAAP measures with the required precision necessary to provide a meaningful reconciliation is extremely difficult and could not be accomplished without unreasonable effort. Non-GAAP measures in respect of future periods which cannot be reconciled to the most comparable GAAP financial measure are calculated in a manner which is consistent with the accounting policies applied in Shell plc’s consolidated financial statements. These forward-looking non-GAAP measures are provided to assist readers in understanding management’s use and expectations of such measures and may not be appropriate for other purposes.  </w:t>
      </w:r>
    </w:p>
    <w:p>
      <w:pPr>
        <w:pStyle w:val="TextBody"/>
        <w:bidi w:val="0"/>
        <w:jc w:val="both"/>
        <w:rPr/>
      </w:pPr>
      <w:r>
        <w:rPr/>
        <w:t>The contents of websites referred to in this announcement do not form part of this announcement.</w:t>
      </w:r>
    </w:p>
    <w:p>
      <w:pPr>
        <w:pStyle w:val="TextBody"/>
        <w:bidi w:val="0"/>
        <w:jc w:val="both"/>
        <w:rPr/>
      </w:pPr>
      <w:r>
        <w:rPr/>
        <w:t>We may have used certain terms, such as resources, in this announcement that the United States Securities and Exchange Commission (SEC) strictly prohibits us from including in our filings with the SEC. Investors are urged to consider closely the disclosure in our Form 20-F, File No 1-32575, available on the SEC website www.sec.gov.</w:t>
      </w:r>
    </w:p>
    <w:p>
      <w:pPr>
        <w:pStyle w:val="HorizontalLine"/>
        <w:pBdr>
          <w:bottom w:val="single" w:sz="12" w:space="0" w:color="808080"/>
        </w:pBdr>
        <w:bidi w:val="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8"/>
        <w:gridCol w:w="9893"/>
      </w:tblGrid>
      <w:tr>
        <w:trPr/>
        <w:tc>
          <w:tcPr>
            <w:tcW w:w="74"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(a)</w:t>
            </w:r>
          </w:p>
        </w:tc>
        <w:tc>
          <w:tcPr>
            <w:tcW w:w="9893" w:type="dxa"/>
            <w:tcBorders/>
            <w:vAlign w:val="center"/>
          </w:tcPr>
          <w:p>
            <w:pPr>
              <w:pStyle w:val="TableContents"/>
              <w:bidi w:val="0"/>
              <w:spacing w:before="0" w:after="283"/>
              <w:jc w:val="left"/>
              <w:rPr/>
            </w:pPr>
            <w:r>
              <w:rPr/>
              <w:t>the Registration Statement on Form F-3 of Shell plc, Shell Finance US Inc. and Shell International Finance B.V. (Registration Numbers 333-276068, 333-276068-01 and 333-276068-02);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78"/>
        <w:gridCol w:w="9853"/>
      </w:tblGrid>
      <w:tr>
        <w:trPr/>
        <w:tc>
          <w:tcPr>
            <w:tcW w:w="74"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(b)</w:t>
            </w:r>
          </w:p>
        </w:tc>
        <w:tc>
          <w:tcPr>
            <w:tcW w:w="9853" w:type="dxa"/>
            <w:tcBorders/>
            <w:vAlign w:val="center"/>
          </w:tcPr>
          <w:p>
            <w:pPr>
              <w:pStyle w:val="TableContents"/>
              <w:bidi w:val="0"/>
              <w:spacing w:before="0" w:after="283"/>
              <w:jc w:val="left"/>
              <w:rPr/>
            </w:pPr>
            <w:r>
              <w:rPr/>
              <w:t>the Registration Statements on Form S-8 of Shell plc (Registration Numbers 333-262396, 333-272192 and 333-292109).</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Shell plc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October 7,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Karen Heslop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Karen Heslop</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Deputy Company Secretary</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2767</Words>
  <Characters>15994</Characters>
  <CharactersWithSpaces>18637</CharactersWithSpaces>
  <Paragraphs>453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