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 w:leader="none" w:pos="7040" w:val="left"/>
        </w:tabs>
        <w:rPr>
          <w:sz w:val="20"/>
          <w:szCs w:val="20"/>
          <w:color w:val="auto"/>
        </w:rPr>
      </w:pPr>
      <w:r>
        <w:rPr>
          <w:rFonts w:ascii="Times New Roman" w:cs="Times New Roman" w:eastAsia="Times New Roman" w:hAnsi="Times New Roman"/>
          <w:sz w:val="22"/>
          <w:szCs w:val="22"/>
          <w:color w:val="auto"/>
        </w:rPr>
        <w:t>Form 20-F [ X ]</w:t>
      </w:r>
      <w:r>
        <w:rPr>
          <w:sz w:val="20"/>
          <w:szCs w:val="20"/>
          <w:color w:val="auto"/>
        </w:rPr>
        <w:tab/>
      </w:r>
      <w:r>
        <w:rPr>
          <w:rFonts w:ascii="Times New Roman" w:cs="Times New Roman" w:eastAsia="Times New Roman" w:hAnsi="Times New Roman"/>
          <w:sz w:val="22"/>
          <w:szCs w:val="22"/>
          <w:color w:val="auto"/>
        </w:rPr>
        <w:t>Form 40-F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Result of AGM</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SHELL PLC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RESULT OF ANNUAL GENERAL MEETING</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Shell plc (Shell) announces the poll results on the resolutions at its Annual General Meeting held on Tuesday May 19, 2026 at the Sofitel London Heathrow Hotel Terminal 5, London Heathrow Airport, London TW6 2GD. Resolutions 1 - 22 were carried and Resolution 23 was not carried.</w:t>
      </w:r>
    </w:p>
    <w:p>
      <w:pPr>
        <w:spacing w:after="0" w:line="1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2"/>
          <w:szCs w:val="22"/>
          <w:color w:val="auto"/>
        </w:rPr>
        <w:t>In a</w:t>
      </w:r>
      <w:r>
        <w:rPr>
          <w:rFonts w:ascii="Times New Roman" w:cs="Times New Roman" w:eastAsia="Times New Roman" w:hAnsi="Times New Roman"/>
          <w:sz w:val="17"/>
          <w:szCs w:val="17"/>
          <w:color w:val="auto"/>
        </w:rPr>
        <w:t>ccordance with the UK Listing Rules, a copy of all resolutions other than resolutions concerning ordinary business at the Annual General Meeting, will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be submitted to the National Storage Mechanism and will be available for inspection at: </w:t>
      </w:r>
      <w:r>
        <w:rPr>
          <w:rFonts w:ascii="Times New Roman" w:cs="Times New Roman" w:eastAsia="Times New Roman" w:hAnsi="Times New Roman"/>
          <w:sz w:val="17"/>
          <w:szCs w:val="17"/>
          <w:b w:val="1"/>
          <w:bCs w:val="1"/>
          <w:color w:val="auto"/>
        </w:rPr>
        <w:t>https://data.fca.org.uk/#/nsm/nationalstoragemechanism</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80" w:type="dxa"/>
            <w:vAlign w:val="bottom"/>
            <w:tcBorders>
              <w:top w:val="single" w:sz="8" w:color="auto"/>
              <w:left w:val="single" w:sz="8" w:color="auto"/>
              <w:right w:val="single" w:sz="8" w:color="auto"/>
            </w:tcBorders>
          </w:tcPr>
          <w:p>
            <w:pPr>
              <w:spacing w:after="0"/>
              <w:rPr>
                <w:sz w:val="19"/>
                <w:szCs w:val="19"/>
                <w:color w:val="auto"/>
              </w:rPr>
            </w:pPr>
          </w:p>
        </w:tc>
        <w:tc>
          <w:tcPr>
            <w:tcW w:w="3460" w:type="dxa"/>
            <w:vAlign w:val="bottom"/>
            <w:tcBorders>
              <w:top w:val="single" w:sz="8" w:color="auto"/>
              <w:right w:val="single" w:sz="8" w:color="auto"/>
            </w:tcBorders>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RESOLUTION</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w:t>
            </w:r>
          </w:p>
        </w:tc>
        <w:tc>
          <w:tcPr>
            <w:tcW w:w="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w:t>
            </w: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ISC</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w:t>
            </w:r>
          </w:p>
        </w:tc>
        <w:tc>
          <w:tcPr>
            <w:tcW w:w="0" w:type="dxa"/>
            <w:vAlign w:val="bottom"/>
          </w:tcPr>
          <w:p>
            <w:pPr>
              <w:spacing w:after="0"/>
              <w:rPr>
                <w:sz w:val="1"/>
                <w:szCs w:val="1"/>
                <w:color w:val="auto"/>
              </w:rPr>
            </w:pPr>
          </w:p>
        </w:tc>
      </w:tr>
      <w:tr>
        <w:trPr>
          <w:trHeight w:val="130"/>
        </w:trPr>
        <w:tc>
          <w:tcPr>
            <w:tcW w:w="380" w:type="dxa"/>
            <w:vAlign w:val="bottom"/>
            <w:tcBorders>
              <w:left w:val="single" w:sz="8" w:color="auto"/>
              <w:right w:val="single" w:sz="8" w:color="auto"/>
            </w:tcBorders>
          </w:tcPr>
          <w:p>
            <w:pPr>
              <w:spacing w:after="0"/>
              <w:rPr>
                <w:sz w:val="11"/>
                <w:szCs w:val="11"/>
                <w:color w:val="auto"/>
              </w:rPr>
            </w:pPr>
          </w:p>
        </w:tc>
        <w:tc>
          <w:tcPr>
            <w:tcW w:w="346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6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62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VOTED</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0" w:type="dxa"/>
            <w:vAlign w:val="bottom"/>
          </w:tcPr>
          <w:p>
            <w:pPr>
              <w:spacing w:after="0"/>
              <w:rPr>
                <w:sz w:val="1"/>
                <w:szCs w:val="1"/>
                <w:color w:val="auto"/>
              </w:rPr>
            </w:pPr>
          </w:p>
        </w:tc>
      </w:tr>
      <w:tr>
        <w:trPr>
          <w:trHeight w:val="115"/>
        </w:trPr>
        <w:tc>
          <w:tcPr>
            <w:tcW w:w="380" w:type="dxa"/>
            <w:vAlign w:val="bottom"/>
            <w:tcBorders>
              <w:left w:val="single" w:sz="8" w:color="auto"/>
              <w:bottom w:val="single" w:sz="8" w:color="auto"/>
              <w:right w:val="single" w:sz="8" w:color="auto"/>
            </w:tcBorders>
          </w:tcPr>
          <w:p>
            <w:pPr>
              <w:spacing w:after="0"/>
              <w:rPr>
                <w:sz w:val="10"/>
                <w:szCs w:val="10"/>
                <w:color w:val="auto"/>
              </w:rPr>
            </w:pPr>
          </w:p>
        </w:tc>
        <w:tc>
          <w:tcPr>
            <w:tcW w:w="34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vMerge w:val="continue"/>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vMerge w:val="continue"/>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vMerge w:val="continue"/>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14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Receipt of Annual Report &amp; Accounts</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3,692,655,862</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99.09</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33,814,873</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0.91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3,726,470,735</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16,661,674</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Approval of Directors’ Remuneration Policy</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3,562,735,886</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95.96</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149,959,212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3,712,695,098</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66.33%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30,433,635</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Approval of Directors’ Remuneration Report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3,628,186,714</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97.37</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98,015,735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2.63</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3,726,202,449</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16,926,344</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Appointment of Holly Keller Koeppel</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3,553,257,053</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95.33</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173,969,267</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4.67</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3,727,226,320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15,898,007</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Appointment of Clare Scherrer</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3,662,274,189</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98.25</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65,078,408</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3,727,352,597</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15,770,496</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Dick Boer</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3,625,334,266</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97.26</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102,168,924</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3,727,503,190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15,626,274</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Ann Godbehere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3,616,390,170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97.05</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110,012,888</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2.95</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3,726,403,058</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16,724,742</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Sinead Gorman</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3,675,023,920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98.58</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52,800,102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1.42</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3,727,824,022</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66.60%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15,303,651</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Jane H. Lute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3,659,266,518</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98.17</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68,105,115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1.83</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3,727,371,633</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15,756,348</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Sir Andrew Mackenzie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3,506,851,112</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94.08</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220,515,498</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5.92</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3,727,366,610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15,760,465</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Sir Charles Roxburgh</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3,625,263,737</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97.26</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102,194,890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3,727,458,627</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15,669,287</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Wael Sawan</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3,685,469,229</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98.86</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42,564,384</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3,728,033,613</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66.60%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15,094,467</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Abraham (Bram) Schot</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3,639,570,466</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97.64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87,830,408</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2.36</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3,727,400,874</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15,725,602</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Leena Srivastava</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3,676,835,105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98.65</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50,424,913</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3,727,260,018</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15,865,837</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Cyrus Taraporevala</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3,598,669,275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96.55</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128,654,336</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3.45</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3,727,323,611</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15,804,212</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Auditors</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3,689,340,949</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99.11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33,062,898</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0.89</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3,722,403,847</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20,717,698</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Remuneration of Auditors</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3,722,097,413</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99.84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5,841,504</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0.16</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3,727,938,917</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66.60%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15,180,063</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Authority to allot shares</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3,629,483,988</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97.39</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97,221,634</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3,726,705,622</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66.58%</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16,425,426</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Disapplication of pre-emption rights*</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3,685,984,387</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98.96</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38,651,329</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3,724,635,716</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18,489,852</w:t>
            </w:r>
          </w:p>
        </w:tc>
        <w:tc>
          <w:tcPr>
            <w:tcW w:w="0" w:type="dxa"/>
            <w:vAlign w:val="bottom"/>
          </w:tcPr>
          <w:p>
            <w:pPr>
              <w:spacing w:after="0"/>
              <w:rPr>
                <w:sz w:val="1"/>
                <w:szCs w:val="1"/>
                <w:color w:val="auto"/>
              </w:rPr>
            </w:pPr>
          </w:p>
        </w:tc>
      </w:tr>
      <w:tr>
        <w:trPr>
          <w:trHeight w:val="209"/>
        </w:trPr>
        <w:tc>
          <w:tcPr>
            <w:tcW w:w="3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3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Authority to make on-market purchases of own</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3,717,577,637</w:t>
            </w:r>
          </w:p>
        </w:tc>
        <w:tc>
          <w:tcPr>
            <w:tcW w:w="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99.74</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9,833,027</w:t>
            </w: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0.26</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3,727,410,664</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66.59%</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15,711,689</w:t>
            </w:r>
          </w:p>
        </w:tc>
        <w:tc>
          <w:tcPr>
            <w:tcW w:w="0" w:type="dxa"/>
            <w:vAlign w:val="bottom"/>
          </w:tcPr>
          <w:p>
            <w:pPr>
              <w:spacing w:after="0"/>
              <w:rPr>
                <w:sz w:val="1"/>
                <w:szCs w:val="1"/>
                <w:color w:val="auto"/>
              </w:rPr>
            </w:pPr>
          </w:p>
        </w:tc>
      </w:tr>
      <w:tr>
        <w:trPr>
          <w:trHeight w:val="241"/>
        </w:trPr>
        <w:tc>
          <w:tcPr>
            <w:tcW w:w="38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280" w:type="dxa"/>
            <w:vAlign w:val="bottom"/>
            <w:tcBorders>
              <w:bottom w:val="single" w:sz="8" w:color="auto"/>
              <w:right w:val="single" w:sz="8" w:color="auto"/>
            </w:tcBorders>
            <w:vMerge w:val="continue"/>
          </w:tcPr>
          <w:p>
            <w:pPr>
              <w:spacing w:after="0"/>
              <w:rPr>
                <w:sz w:val="20"/>
                <w:szCs w:val="20"/>
                <w:color w:val="auto"/>
              </w:rPr>
            </w:pPr>
          </w:p>
        </w:tc>
        <w:tc>
          <w:tcPr>
            <w:tcW w:w="600" w:type="dxa"/>
            <w:vAlign w:val="bottom"/>
            <w:tcBorders>
              <w:bottom w:val="single" w:sz="8" w:color="auto"/>
              <w:right w:val="single" w:sz="8" w:color="auto"/>
            </w:tcBorders>
            <w:vMerge w:val="continue"/>
          </w:tcPr>
          <w:p>
            <w:pPr>
              <w:spacing w:after="0"/>
              <w:rPr>
                <w:sz w:val="20"/>
                <w:szCs w:val="20"/>
                <w:color w:val="auto"/>
              </w:rPr>
            </w:pPr>
          </w:p>
        </w:tc>
        <w:tc>
          <w:tcPr>
            <w:tcW w:w="1280" w:type="dxa"/>
            <w:vAlign w:val="bottom"/>
            <w:tcBorders>
              <w:bottom w:val="single" w:sz="8" w:color="auto"/>
              <w:right w:val="single" w:sz="8" w:color="auto"/>
            </w:tcBorders>
            <w:vMerge w:val="continue"/>
          </w:tcPr>
          <w:p>
            <w:pPr>
              <w:spacing w:after="0"/>
              <w:rPr>
                <w:sz w:val="20"/>
                <w:szCs w:val="20"/>
                <w:color w:val="auto"/>
              </w:rPr>
            </w:pPr>
          </w:p>
        </w:tc>
        <w:tc>
          <w:tcPr>
            <w:tcW w:w="620" w:type="dxa"/>
            <w:vAlign w:val="bottom"/>
            <w:tcBorders>
              <w:bottom w:val="single" w:sz="8" w:color="auto"/>
              <w:right w:val="single" w:sz="8" w:color="auto"/>
            </w:tcBorders>
            <w:vMerge w:val="continue"/>
          </w:tcPr>
          <w:p>
            <w:pPr>
              <w:spacing w:after="0"/>
              <w:rPr>
                <w:sz w:val="20"/>
                <w:szCs w:val="20"/>
                <w:color w:val="auto"/>
              </w:rPr>
            </w:pPr>
          </w:p>
        </w:tc>
        <w:tc>
          <w:tcPr>
            <w:tcW w:w="1280" w:type="dxa"/>
            <w:vAlign w:val="bottom"/>
            <w:tcBorders>
              <w:bottom w:val="single" w:sz="8" w:color="auto"/>
              <w:right w:val="single" w:sz="8" w:color="auto"/>
            </w:tcBorders>
            <w:vMerge w:val="continue"/>
          </w:tcPr>
          <w:p>
            <w:pPr>
              <w:spacing w:after="0"/>
              <w:rPr>
                <w:sz w:val="20"/>
                <w:szCs w:val="20"/>
                <w:color w:val="auto"/>
              </w:rPr>
            </w:pPr>
          </w:p>
        </w:tc>
        <w:tc>
          <w:tcPr>
            <w:tcW w:w="880" w:type="dxa"/>
            <w:vAlign w:val="bottom"/>
            <w:tcBorders>
              <w:bottom w:val="single" w:sz="8" w:color="auto"/>
              <w:right w:val="single" w:sz="8" w:color="auto"/>
            </w:tcBorders>
            <w:vMerge w:val="continue"/>
          </w:tcPr>
          <w:p>
            <w:pPr>
              <w:spacing w:after="0"/>
              <w:rPr>
                <w:sz w:val="20"/>
                <w:szCs w:val="20"/>
                <w:color w:val="auto"/>
              </w:rPr>
            </w:pPr>
          </w:p>
        </w:tc>
        <w:tc>
          <w:tcPr>
            <w:tcW w:w="14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3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Authority to make off-market purchases of</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3,694,862,655</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99.14</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32,054,638</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0.86</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3,726,917,293</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66.58%</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16,206,236</w:t>
            </w:r>
          </w:p>
        </w:tc>
        <w:tc>
          <w:tcPr>
            <w:tcW w:w="0" w:type="dxa"/>
            <w:vAlign w:val="bottom"/>
          </w:tcPr>
          <w:p>
            <w:pPr>
              <w:spacing w:after="0"/>
              <w:rPr>
                <w:sz w:val="1"/>
                <w:szCs w:val="1"/>
                <w:color w:val="auto"/>
              </w:rPr>
            </w:pPr>
          </w:p>
        </w:tc>
      </w:tr>
      <w:tr>
        <w:trPr>
          <w:trHeight w:val="175"/>
        </w:trPr>
        <w:tc>
          <w:tcPr>
            <w:tcW w:w="380" w:type="dxa"/>
            <w:vAlign w:val="bottom"/>
            <w:tcBorders>
              <w:left w:val="single" w:sz="8" w:color="auto"/>
              <w:bottom w:val="single" w:sz="8" w:color="auto"/>
              <w:right w:val="single" w:sz="8" w:color="auto"/>
            </w:tcBorders>
          </w:tcPr>
          <w:p>
            <w:pPr>
              <w:spacing w:after="0"/>
              <w:rPr>
                <w:sz w:val="15"/>
                <w:szCs w:val="15"/>
                <w:color w:val="auto"/>
              </w:rPr>
            </w:pPr>
          </w:p>
        </w:tc>
        <w:tc>
          <w:tcPr>
            <w:tcW w:w="3460" w:type="dxa"/>
            <w:vAlign w:val="bottom"/>
            <w:tcBorders>
              <w:bottom w:val="single" w:sz="8" w:color="auto"/>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own shares*</w:t>
            </w:r>
          </w:p>
        </w:tc>
        <w:tc>
          <w:tcPr>
            <w:tcW w:w="1280" w:type="dxa"/>
            <w:vAlign w:val="bottom"/>
            <w:tcBorders>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3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Authority for certain donations and</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3,686,389,940</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98.92</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40,124,806</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3,726,514,746</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66.57%</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16,574,054</w:t>
            </w:r>
          </w:p>
        </w:tc>
        <w:tc>
          <w:tcPr>
            <w:tcW w:w="0" w:type="dxa"/>
            <w:vAlign w:val="bottom"/>
          </w:tcPr>
          <w:p>
            <w:pPr>
              <w:spacing w:after="0"/>
              <w:rPr>
                <w:sz w:val="1"/>
                <w:szCs w:val="1"/>
                <w:color w:val="auto"/>
              </w:rPr>
            </w:pPr>
          </w:p>
        </w:tc>
      </w:tr>
      <w:tr>
        <w:trPr>
          <w:trHeight w:val="175"/>
        </w:trPr>
        <w:tc>
          <w:tcPr>
            <w:tcW w:w="380" w:type="dxa"/>
            <w:vAlign w:val="bottom"/>
            <w:tcBorders>
              <w:left w:val="single" w:sz="8" w:color="auto"/>
              <w:bottom w:val="single" w:sz="8" w:color="auto"/>
              <w:right w:val="single" w:sz="8" w:color="auto"/>
            </w:tcBorders>
          </w:tcPr>
          <w:p>
            <w:pPr>
              <w:spacing w:after="0"/>
              <w:rPr>
                <w:sz w:val="15"/>
                <w:szCs w:val="15"/>
                <w:color w:val="auto"/>
              </w:rPr>
            </w:pPr>
          </w:p>
        </w:tc>
        <w:tc>
          <w:tcPr>
            <w:tcW w:w="3460" w:type="dxa"/>
            <w:vAlign w:val="bottom"/>
            <w:tcBorders>
              <w:bottom w:val="single" w:sz="8" w:color="auto"/>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expenditure</w:t>
            </w:r>
          </w:p>
        </w:tc>
        <w:tc>
          <w:tcPr>
            <w:tcW w:w="1280" w:type="dxa"/>
            <w:vAlign w:val="bottom"/>
            <w:tcBorders>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3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Shareholder resolution*</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470,824,659</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13.01</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3,148,423,871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86.99</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3,619,248,530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64.66%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119,605,420</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Special reso</w:t>
      </w:r>
      <w:r>
        <w:rPr>
          <w:rFonts w:ascii="Times New Roman" w:cs="Times New Roman" w:eastAsia="Times New Roman" w:hAnsi="Times New Roman"/>
          <w:sz w:val="21"/>
          <w:szCs w:val="21"/>
          <w:color w:val="auto"/>
        </w:rPr>
        <w:t>lution</w:t>
      </w:r>
    </w:p>
    <w:p>
      <w:pPr>
        <w:spacing w:after="0" w:line="21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Please note that a ‘vote withheld’ is not a vote under English Law and is not counted in the calculation of the proportion of the votes ‘for’ and ‘against’ a resolution.</w:t>
      </w:r>
    </w:p>
    <w:p>
      <w:pPr>
        <w:spacing w:after="0" w:line="15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Chief Executive Officer Wael Sawan said: “Shell’s shareholders continue to strongly back our strategy as we transform Shell into a better performing and more resilient business. We are making progress towards our financial and climate targets, providing the oil and gas the world needs today while helping to build the energy system of the future. We will apply discipline and focus as we continue to deliver more value with less emissions.”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19,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Sean Ashley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Secretary</w:t>
      </w:r>
    </w:p>
    <w:p>
      <w:pPr>
        <w:spacing w:after="0"/>
        <w:rPr>
          <w:sz w:val="20"/>
          <w:szCs w:val="20"/>
          <w:color w:val="auto"/>
        </w:rPr>
      </w:pPr>
      <w:r>
        <w:rPr>
          <w:rFonts w:ascii="Times New Roman" w:cs="Times New Roman" w:eastAsia="Times New Roman" w:hAnsi="Times New Roman"/>
          <w:sz w:val="22"/>
          <w:szCs w:val="22"/>
          <w:color w:val="auto"/>
        </w:rPr>
        <w:t>Shell plc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ENQUIRIES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Media Relations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International, UK, European Press: +44 20 7934 5550</w:t>
      </w:r>
    </w:p>
    <w:p>
      <w:pPr>
        <w:sectPr>
          <w:pgSz w:w="11900" w:h="16838" w:orient="portrait"/>
          <w:cols w:equalWidth="0" w:num="1">
            <w:col w:w="11240"/>
          </w:cols>
          <w:pgMar w:left="320" w:top="1134" w:right="339" w:bottom="157"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Cautionary Note</w:t>
      </w:r>
    </w:p>
    <w:p>
      <w:pPr>
        <w:spacing w:after="0" w:line="19"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w:t>
      </w:r>
    </w:p>
    <w:p>
      <w:pPr>
        <w:spacing w:after="0" w:line="11" w:lineRule="exact"/>
        <w:rPr>
          <w:sz w:val="20"/>
          <w:szCs w:val="20"/>
          <w:color w:val="auto"/>
        </w:rPr>
      </w:pPr>
    </w:p>
    <w:p>
      <w:pPr>
        <w:ind w:right="80" w:firstLine="8"/>
        <w:spacing w:after="0" w:line="243" w:lineRule="auto"/>
        <w:tabs>
          <w:tab w:leader="none" w:pos="30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t>
      </w:r>
      <w:r>
        <w:rPr>
          <w:rFonts w:ascii="Times New Roman" w:cs="Times New Roman" w:eastAsia="Times New Roman" w:hAnsi="Times New Roman"/>
          <w:sz w:val="21"/>
          <w:szCs w:val="21"/>
          <w:u w:val="single" w:color="auto"/>
          <w:color w:val="auto"/>
        </w:rPr>
        <w:t>www.shell.com/investors/news-and-filings/sec-filings.html</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www.sec.gov</w:t>
      </w:r>
      <w:r>
        <w:rPr>
          <w:rFonts w:ascii="Times New Roman" w:cs="Times New Roman" w:eastAsia="Times New Roman" w:hAnsi="Times New Roman"/>
          <w:sz w:val="21"/>
          <w:szCs w:val="21"/>
          <w:color w:val="auto"/>
        </w:rPr>
        <w:t>). These risk factors also expressly qualify all forward-looking statements contained in this announcement and should be considered by the reader. Each forward-looking statement speaks only as of the date of this announcement, May 19,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spacing w:after="0" w:line="17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 xml:space="preserve">Investors are urged to consider closely the disclosure in our Form 20-F, File No 1-32575, available on the SEC website </w:t>
      </w:r>
      <w:r>
        <w:rPr>
          <w:rFonts w:ascii="Times New Roman" w:cs="Times New Roman" w:eastAsia="Times New Roman" w:hAnsi="Times New Roman"/>
          <w:sz w:val="22"/>
          <w:szCs w:val="22"/>
          <w:u w:val="single" w:color="auto"/>
          <w:color w:val="auto"/>
        </w:rPr>
        <w:t>www.sec.gov</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60" w:hanging="498"/>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333-272192 and 333-292109).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320" w:top="688" w:right="87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400" w:type="dxa"/>
            <w:vAlign w:val="bottom"/>
          </w:tcPr>
          <w:p>
            <w:pPr>
              <w:spacing w:after="0"/>
              <w:rPr>
                <w:sz w:val="17"/>
                <w:szCs w:val="17"/>
                <w:color w:val="auto"/>
              </w:rPr>
            </w:pPr>
          </w:p>
        </w:tc>
      </w:tr>
      <w:tr>
        <w:trPr>
          <w:trHeight w:val="237"/>
        </w:trPr>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2026</w:t>
            </w: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SEAN ASHLEY</w:t>
            </w:r>
          </w:p>
        </w:tc>
      </w:tr>
      <w:tr>
        <w:trPr>
          <w:trHeight w:val="218"/>
        </w:trPr>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Sean Ashley</w:t>
            </w:r>
          </w:p>
        </w:tc>
      </w:tr>
      <w:tr>
        <w:trPr>
          <w:trHeight w:val="234"/>
        </w:trPr>
        <w:tc>
          <w:tcPr>
            <w:tcW w:w="770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Company Secretary</w:t>
            </w:r>
          </w:p>
        </w:tc>
      </w:tr>
    </w:tbl>
    <w:p>
      <w:pPr>
        <w:spacing w:after="0" w:line="1" w:lineRule="exact"/>
        <w:rPr>
          <w:sz w:val="20"/>
          <w:szCs w:val="20"/>
          <w:color w:val="auto"/>
        </w:rPr>
      </w:pPr>
    </w:p>
    <w:sectPr>
      <w:pgSz w:w="11900" w:h="16838" w:orient="portrait"/>
      <w:cols w:equalWidth="0" w:num="1">
        <w:col w:w="11160"/>
      </w:cols>
      <w:pgMar w:left="320" w:top="32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4"/>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2026-05-20T05:10:18Z</dcterms:created>
  <dcterms:modified xsi:type="dcterms:W3CDTF">2026-05-20T05:10:18Z</dcterms:modified>
</cp:coreProperties>
</file>