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ectPr>
          <w:pgSz w:w="11900" w:h="16838" w:orient="portrait"/>
          <w:cols w:equalWidth="0" w:num="1">
            <w:col w:w="9019"/>
          </w:cols>
          <w:pgMar w:left="1440" w:top="1440" w:right="1440" w:bottom="1440" w:gutter="0" w:footer="0" w:header="0"/>
        </w:sect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____________________</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___________________</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ANNUAL REPORT</w:t>
      </w:r>
    </w:p>
    <w:p>
      <w:pPr>
        <w:spacing w:after="0" w:line="212"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Pursuant to Section 15(d) of the</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For the Year Ended December 31, 2025</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1-32575</w:t>
      </w:r>
    </w:p>
    <w:p>
      <w:pPr>
        <w:spacing w:after="0" w:line="225"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____________________</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SHELL PROVIDENT FUND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P.O. Box 1438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77251-1438</w:t>
      </w:r>
    </w:p>
    <w:p>
      <w:pPr>
        <w:spacing w:after="0" w:line="194"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____________________</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SHELL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Shell Centre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York Road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SE1 7NA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1073785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 w:name="page2"/>
    <w:bookmarkEnd w:id="1"/>
    <w:p>
      <w:pPr>
        <w:ind w:left="4500"/>
        <w:spacing w:after="0"/>
        <w:rPr>
          <w:sz w:val="20"/>
          <w:szCs w:val="20"/>
          <w:color w:val="auto"/>
        </w:rPr>
      </w:pPr>
      <w:r>
        <w:rPr>
          <w:rFonts w:ascii="Arial" w:cs="Arial" w:eastAsia="Arial" w:hAnsi="Arial"/>
          <w:sz w:val="18"/>
          <w:szCs w:val="18"/>
          <w:u w:val="single" w:color="auto"/>
          <w:color w:val="auto"/>
        </w:rPr>
        <w:t>SHELL PROVIDENT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Statements of Net Assets Available for 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and 2024</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 and 2024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Notes to the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Supplemental Schedule 1- Schedule H, Line 4i - Schedule of Assets (Held at End of Year)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 Exhibit: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No. 1 - 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left="12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224155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15-16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10020" w:space="720"/>
            <w:col w:w="460"/>
          </w:cols>
          <w:pgMar w:left="340" w:top="1403" w:right="359" w:bottom="1440" w:gutter="0" w:footer="0" w:header="0"/>
        </w:sectPr>
      </w:pPr>
    </w:p>
    <w:bookmarkStart w:id="2" w:name="page3"/>
    <w:bookmarkEnd w:id="2"/>
    <w:p>
      <w:pPr>
        <w:spacing w:after="0" w:line="18"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396" w:lineRule="auto"/>
        <w:rPr>
          <w:sz w:val="20"/>
          <w:szCs w:val="20"/>
          <w:color w:val="auto"/>
        </w:rPr>
      </w:pPr>
      <w:r>
        <w:rPr>
          <w:rFonts w:ascii="Arial" w:cs="Arial" w:eastAsia="Arial" w:hAnsi="Arial"/>
          <w:sz w:val="18"/>
          <w:szCs w:val="18"/>
          <w:color w:val="auto"/>
        </w:rPr>
        <w:t>Pursuant to the requirements of the Securities Exchange Act of 1934, the Trustees have duly caused this annual report to be signed on its behalf by the undersigned hereunto duly authorized.</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SHELL PROVIDENT FUND</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Times New Roman" w:cs="Times New Roman" w:eastAsia="Times New Roman" w:hAnsi="Times New Roman"/>
          <w:sz w:val="21"/>
          <w:szCs w:val="21"/>
          <w:color w:val="auto"/>
        </w:rPr>
        <w:t>/s/ Jennifer Muse Davis</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Jennifer Muse Davis</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Plan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224155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100" w:top="1440" w:right="87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37" w:lineRule="exact"/>
        <w:rPr>
          <w:sz w:val="20"/>
          <w:szCs w:val="20"/>
          <w:color w:val="auto"/>
        </w:rPr>
      </w:pPr>
    </w:p>
    <w:p>
      <w:pPr>
        <w:ind w:right="4660"/>
        <w:spacing w:after="0" w:line="448" w:lineRule="auto"/>
        <w:rPr>
          <w:sz w:val="20"/>
          <w:szCs w:val="20"/>
          <w:color w:val="auto"/>
        </w:rPr>
      </w:pPr>
      <w:r>
        <w:rPr>
          <w:rFonts w:ascii="Times New Roman" w:cs="Times New Roman" w:eastAsia="Times New Roman" w:hAnsi="Times New Roman"/>
          <w:sz w:val="22"/>
          <w:szCs w:val="22"/>
          <w:color w:val="auto"/>
        </w:rPr>
        <w:t xml:space="preserve">To the Plan Participants and the Plan Administrator of Shell Provident Fund </w:t>
      </w:r>
      <w:r>
        <w:rPr>
          <w:rFonts w:ascii="Times New Roman" w:cs="Times New Roman" w:eastAsia="Times New Roman" w:hAnsi="Times New Roman"/>
          <w:sz w:val="22"/>
          <w:szCs w:val="22"/>
          <w:b w:val="1"/>
          <w:bCs w:val="1"/>
          <w:color w:val="auto"/>
        </w:rPr>
        <w:t>Opinion on the Financial Statements</w:t>
      </w:r>
    </w:p>
    <w:p>
      <w:pPr>
        <w:spacing w:after="0" w:line="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1"/>
          <w:szCs w:val="21"/>
          <w:color w:val="auto"/>
        </w:rPr>
        <w:t>We have audited the accompanying statements of net assets available for benefits of Shell Provident Fund (the Plan) as of December 31, 2025 and 2024, and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at December 31, 2025 and 2024, and the changes in its net assets available for benefits for the years then ended, in conformity with U.S. generally accepted accounting principles.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Basis for Opinion</w:t>
      </w:r>
    </w:p>
    <w:p>
      <w:pPr>
        <w:spacing w:after="0" w:line="22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1"/>
          <w:szCs w:val="21"/>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61"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22"/>
          <w:szCs w:val="2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Supplemental Schedule Required by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9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The accompanying supplemental schedule of assets (held at end of year) as of December 31, 2025 (referred to as the “supplemental schedule”), has been subjected to audit procedures performed in conjunction with the audit of the Plan’s financial statements. The information in the supplemental schedule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have served as the Plan’s auditor since 2016.</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t>Shell Provident Fund</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Statements of Net Assets Available for Benefits</w:t>
      </w:r>
    </w:p>
    <w:p>
      <w:pPr>
        <w:spacing w:after="0"/>
        <w:rPr>
          <w:sz w:val="20"/>
          <w:szCs w:val="20"/>
          <w:color w:val="auto"/>
        </w:rPr>
      </w:pPr>
      <w:r>
        <w:rPr>
          <w:rFonts w:ascii="Arial" w:cs="Arial" w:eastAsia="Arial" w:hAnsi="Arial"/>
          <w:sz w:val="22"/>
          <w:szCs w:val="22"/>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17"/>
                <w:szCs w:val="17"/>
                <w:color w:val="auto"/>
              </w:rPr>
            </w:pPr>
          </w:p>
        </w:tc>
        <w:tc>
          <w:tcPr>
            <w:tcW w:w="16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45"/>
        </w:trPr>
        <w:tc>
          <w:tcPr>
            <w:tcW w:w="67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480"/>
              <w:spacing w:after="0"/>
              <w:rPr>
                <w:sz w:val="20"/>
                <w:szCs w:val="20"/>
                <w:color w:val="auto"/>
              </w:rPr>
            </w:pPr>
            <w:r>
              <w:rPr>
                <w:rFonts w:ascii="Arial" w:cs="Arial" w:eastAsia="Arial" w:hAnsi="Arial"/>
                <w:sz w:val="18"/>
                <w:szCs w:val="18"/>
                <w:color w:val="auto"/>
              </w:rPr>
              <w:t>Short-term investments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557,626,935</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546,068,377</w:t>
            </w:r>
          </w:p>
        </w:tc>
        <w:tc>
          <w:tcPr>
            <w:tcW w:w="0" w:type="dxa"/>
            <w:vAlign w:val="bottom"/>
          </w:tcPr>
          <w:p>
            <w:pPr>
              <w:spacing w:after="0"/>
              <w:rPr>
                <w:sz w:val="1"/>
                <w:szCs w:val="1"/>
                <w:color w:val="auto"/>
              </w:rPr>
            </w:pPr>
          </w:p>
        </w:tc>
      </w:tr>
      <w:tr>
        <w:trPr>
          <w:trHeight w:val="230"/>
        </w:trPr>
        <w:tc>
          <w:tcPr>
            <w:tcW w:w="6720" w:type="dxa"/>
            <w:vAlign w:val="bottom"/>
          </w:tcPr>
          <w:p>
            <w:pPr>
              <w:ind w:left="480"/>
              <w:spacing w:after="0"/>
              <w:rPr>
                <w:sz w:val="20"/>
                <w:szCs w:val="20"/>
                <w:color w:val="auto"/>
              </w:rPr>
            </w:pPr>
            <w:r>
              <w:rPr>
                <w:rFonts w:ascii="Arial" w:cs="Arial" w:eastAsia="Arial" w:hAnsi="Arial"/>
                <w:sz w:val="18"/>
                <w:szCs w:val="18"/>
                <w:color w:val="auto"/>
              </w:rPr>
              <w:t>Common stock/American Depository Receipts</w:t>
            </w:r>
          </w:p>
        </w:tc>
        <w:tc>
          <w:tcPr>
            <w:tcW w:w="420" w:type="dxa"/>
            <w:vAlign w:val="bottom"/>
          </w:tcPr>
          <w:p>
            <w:pPr>
              <w:spacing w:after="0"/>
              <w:rPr>
                <w:sz w:val="19"/>
                <w:szCs w:val="19"/>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271,095,936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283,354,047</w:t>
            </w:r>
          </w:p>
        </w:tc>
        <w:tc>
          <w:tcPr>
            <w:tcW w:w="0" w:type="dxa"/>
            <w:vAlign w:val="bottom"/>
          </w:tcPr>
          <w:p>
            <w:pPr>
              <w:spacing w:after="0"/>
              <w:rPr>
                <w:sz w:val="1"/>
                <w:szCs w:val="1"/>
                <w:color w:val="auto"/>
              </w:rPr>
            </w:pPr>
          </w:p>
        </w:tc>
      </w:tr>
      <w:tr>
        <w:trPr>
          <w:trHeight w:val="229"/>
        </w:trPr>
        <w:tc>
          <w:tcPr>
            <w:tcW w:w="6720" w:type="dxa"/>
            <w:vAlign w:val="bottom"/>
          </w:tcPr>
          <w:p>
            <w:pPr>
              <w:ind w:left="480"/>
              <w:spacing w:after="0"/>
              <w:rPr>
                <w:sz w:val="20"/>
                <w:szCs w:val="20"/>
                <w:color w:val="auto"/>
              </w:rPr>
            </w:pPr>
            <w:r>
              <w:rPr>
                <w:rFonts w:ascii="Arial" w:cs="Arial" w:eastAsia="Arial" w:hAnsi="Arial"/>
                <w:sz w:val="18"/>
                <w:szCs w:val="18"/>
                <w:color w:val="auto"/>
              </w:rPr>
              <w:t>Common/collective funds</w:t>
            </w:r>
          </w:p>
        </w:tc>
        <w:tc>
          <w:tcPr>
            <w:tcW w:w="420" w:type="dxa"/>
            <w:vAlign w:val="bottom"/>
          </w:tcPr>
          <w:p>
            <w:pPr>
              <w:spacing w:after="0"/>
              <w:rPr>
                <w:sz w:val="19"/>
                <w:szCs w:val="19"/>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8,422,252,047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7,883,697,167</w:t>
            </w:r>
          </w:p>
        </w:tc>
        <w:tc>
          <w:tcPr>
            <w:tcW w:w="0" w:type="dxa"/>
            <w:vAlign w:val="bottom"/>
          </w:tcPr>
          <w:p>
            <w:pPr>
              <w:spacing w:after="0"/>
              <w:rPr>
                <w:sz w:val="1"/>
                <w:szCs w:val="1"/>
                <w:color w:val="auto"/>
              </w:rPr>
            </w:pPr>
          </w:p>
        </w:tc>
      </w:tr>
      <w:tr>
        <w:trPr>
          <w:trHeight w:val="229"/>
        </w:trPr>
        <w:tc>
          <w:tcPr>
            <w:tcW w:w="6720" w:type="dxa"/>
            <w:vAlign w:val="bottom"/>
          </w:tcPr>
          <w:p>
            <w:pPr>
              <w:ind w:left="480"/>
              <w:spacing w:after="0"/>
              <w:rPr>
                <w:sz w:val="20"/>
                <w:szCs w:val="20"/>
                <w:color w:val="auto"/>
              </w:rPr>
            </w:pPr>
            <w:r>
              <w:rPr>
                <w:rFonts w:ascii="Arial" w:cs="Arial" w:eastAsia="Arial" w:hAnsi="Arial"/>
                <w:sz w:val="18"/>
                <w:szCs w:val="18"/>
                <w:color w:val="auto"/>
              </w:rPr>
              <w:t>Registered investment company funds</w:t>
            </w:r>
          </w:p>
        </w:tc>
        <w:tc>
          <w:tcPr>
            <w:tcW w:w="420" w:type="dxa"/>
            <w:vAlign w:val="bottom"/>
          </w:tcPr>
          <w:p>
            <w:pPr>
              <w:spacing w:after="0"/>
              <w:rPr>
                <w:sz w:val="19"/>
                <w:szCs w:val="19"/>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2,561,045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5,776,318</w:t>
            </w:r>
          </w:p>
        </w:tc>
        <w:tc>
          <w:tcPr>
            <w:tcW w:w="0" w:type="dxa"/>
            <w:vAlign w:val="bottom"/>
          </w:tcPr>
          <w:p>
            <w:pPr>
              <w:spacing w:after="0"/>
              <w:rPr>
                <w:sz w:val="1"/>
                <w:szCs w:val="1"/>
                <w:color w:val="auto"/>
              </w:rPr>
            </w:pPr>
          </w:p>
        </w:tc>
      </w:tr>
      <w:tr>
        <w:trPr>
          <w:trHeight w:val="235"/>
        </w:trPr>
        <w:tc>
          <w:tcPr>
            <w:tcW w:w="6720" w:type="dxa"/>
            <w:vAlign w:val="bottom"/>
          </w:tcPr>
          <w:p>
            <w:pPr>
              <w:ind w:left="480"/>
              <w:spacing w:after="0"/>
              <w:rPr>
                <w:sz w:val="20"/>
                <w:szCs w:val="20"/>
                <w:color w:val="auto"/>
              </w:rPr>
            </w:pPr>
            <w:r>
              <w:rPr>
                <w:rFonts w:ascii="Arial" w:cs="Arial" w:eastAsia="Arial" w:hAnsi="Arial"/>
                <w:sz w:val="18"/>
                <w:szCs w:val="18"/>
                <w:color w:val="auto"/>
              </w:rPr>
              <w:t>Self-directed brokerage accounts</w:t>
            </w: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3,099,445,766</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2,702,408,666</w:t>
            </w:r>
          </w:p>
        </w:tc>
        <w:tc>
          <w:tcPr>
            <w:tcW w:w="0" w:type="dxa"/>
            <w:vAlign w:val="bottom"/>
          </w:tcPr>
          <w:p>
            <w:pPr>
              <w:spacing w:after="0"/>
              <w:rPr>
                <w:sz w:val="1"/>
                <w:szCs w:val="1"/>
                <w:color w:val="auto"/>
              </w:rPr>
            </w:pPr>
          </w:p>
        </w:tc>
      </w:tr>
      <w:tr>
        <w:trPr>
          <w:trHeight w:val="218"/>
        </w:trPr>
        <w:tc>
          <w:tcPr>
            <w:tcW w:w="6720" w:type="dxa"/>
            <w:vAlign w:val="bottom"/>
          </w:tcPr>
          <w:p>
            <w:pPr>
              <w:ind w:left="480"/>
              <w:spacing w:after="0"/>
              <w:rPr>
                <w:sz w:val="20"/>
                <w:szCs w:val="20"/>
                <w:color w:val="auto"/>
              </w:rPr>
            </w:pPr>
            <w:r>
              <w:rPr>
                <w:rFonts w:ascii="Arial" w:cs="Arial" w:eastAsia="Arial" w:hAnsi="Arial"/>
                <w:sz w:val="18"/>
                <w:szCs w:val="18"/>
                <w:color w:val="auto"/>
              </w:rPr>
              <w:t>Total investments at fair value</w:t>
            </w:r>
          </w:p>
        </w:tc>
        <w:tc>
          <w:tcPr>
            <w:tcW w:w="42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12,352,981,729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11,421,304,575</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Receivables:</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480"/>
              <w:spacing w:after="0"/>
              <w:rPr>
                <w:sz w:val="20"/>
                <w:szCs w:val="20"/>
                <w:color w:val="auto"/>
              </w:rPr>
            </w:pPr>
            <w:r>
              <w:rPr>
                <w:rFonts w:ascii="Arial" w:cs="Arial" w:eastAsia="Arial" w:hAnsi="Arial"/>
                <w:sz w:val="18"/>
                <w:szCs w:val="18"/>
                <w:color w:val="auto"/>
              </w:rPr>
              <w:t>Interest and other receivables</w:t>
            </w:r>
          </w:p>
        </w:tc>
        <w:tc>
          <w:tcPr>
            <w:tcW w:w="420" w:type="dxa"/>
            <w:vAlign w:val="bottom"/>
          </w:tcPr>
          <w:p>
            <w:pPr>
              <w:spacing w:after="0"/>
              <w:rPr>
                <w:sz w:val="19"/>
                <w:szCs w:val="19"/>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16,182,131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17,331,620</w:t>
            </w:r>
          </w:p>
        </w:tc>
        <w:tc>
          <w:tcPr>
            <w:tcW w:w="0" w:type="dxa"/>
            <w:vAlign w:val="bottom"/>
          </w:tcPr>
          <w:p>
            <w:pPr>
              <w:spacing w:after="0"/>
              <w:rPr>
                <w:sz w:val="1"/>
                <w:szCs w:val="1"/>
                <w:color w:val="auto"/>
              </w:rPr>
            </w:pPr>
          </w:p>
        </w:tc>
      </w:tr>
      <w:tr>
        <w:trPr>
          <w:trHeight w:val="235"/>
        </w:trPr>
        <w:tc>
          <w:tcPr>
            <w:tcW w:w="6720" w:type="dxa"/>
            <w:vAlign w:val="bottom"/>
          </w:tcPr>
          <w:p>
            <w:pPr>
              <w:ind w:left="480"/>
              <w:spacing w:after="0"/>
              <w:rPr>
                <w:sz w:val="20"/>
                <w:szCs w:val="20"/>
                <w:color w:val="auto"/>
              </w:rPr>
            </w:pPr>
            <w:r>
              <w:rPr>
                <w:rFonts w:ascii="Arial" w:cs="Arial" w:eastAsia="Arial" w:hAnsi="Arial"/>
                <w:sz w:val="18"/>
                <w:szCs w:val="18"/>
                <w:color w:val="auto"/>
              </w:rPr>
              <w:t>Notes receivable from participants</w:t>
            </w: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84,729,906</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88,734,800</w:t>
            </w:r>
          </w:p>
        </w:tc>
        <w:tc>
          <w:tcPr>
            <w:tcW w:w="0" w:type="dxa"/>
            <w:vAlign w:val="bottom"/>
          </w:tcPr>
          <w:p>
            <w:pPr>
              <w:spacing w:after="0"/>
              <w:rPr>
                <w:sz w:val="1"/>
                <w:szCs w:val="1"/>
                <w:color w:val="auto"/>
              </w:rPr>
            </w:pPr>
          </w:p>
        </w:tc>
      </w:tr>
      <w:tr>
        <w:trPr>
          <w:trHeight w:val="223"/>
        </w:trPr>
        <w:tc>
          <w:tcPr>
            <w:tcW w:w="6720" w:type="dxa"/>
            <w:vAlign w:val="bottom"/>
          </w:tcPr>
          <w:p>
            <w:pPr>
              <w:ind w:left="600"/>
              <w:spacing w:after="0"/>
              <w:rPr>
                <w:sz w:val="20"/>
                <w:szCs w:val="20"/>
                <w:color w:val="auto"/>
              </w:rPr>
            </w:pPr>
            <w:r>
              <w:rPr>
                <w:rFonts w:ascii="Arial" w:cs="Arial" w:eastAsia="Arial" w:hAnsi="Arial"/>
                <w:sz w:val="18"/>
                <w:szCs w:val="18"/>
                <w:color w:val="auto"/>
              </w:rPr>
              <w:t>Total receivables</w:t>
            </w: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100,912,037</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106,066,420</w:t>
            </w:r>
          </w:p>
        </w:tc>
        <w:tc>
          <w:tcPr>
            <w:tcW w:w="0" w:type="dxa"/>
            <w:vAlign w:val="bottom"/>
          </w:tcPr>
          <w:p>
            <w:pPr>
              <w:spacing w:after="0"/>
              <w:rPr>
                <w:sz w:val="1"/>
                <w:szCs w:val="1"/>
                <w:color w:val="auto"/>
              </w:rPr>
            </w:pPr>
          </w:p>
        </w:tc>
      </w:tr>
      <w:tr>
        <w:trPr>
          <w:trHeight w:val="218"/>
        </w:trPr>
        <w:tc>
          <w:tcPr>
            <w:tcW w:w="672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12,453,893,766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11,527,370,995</w:t>
            </w:r>
          </w:p>
        </w:tc>
        <w:tc>
          <w:tcPr>
            <w:tcW w:w="0" w:type="dxa"/>
            <w:vAlign w:val="bottom"/>
          </w:tcPr>
          <w:p>
            <w:pPr>
              <w:spacing w:after="0"/>
              <w:rPr>
                <w:sz w:val="1"/>
                <w:szCs w:val="1"/>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720" w:type="dxa"/>
            <w:vAlign w:val="bottom"/>
          </w:tcPr>
          <w:p>
            <w:pPr>
              <w:spacing w:after="0"/>
              <w:rPr>
                <w:sz w:val="20"/>
                <w:szCs w:val="20"/>
                <w:color w:val="auto"/>
              </w:rPr>
            </w:pPr>
            <w:r>
              <w:rPr>
                <w:rFonts w:ascii="Arial" w:cs="Arial" w:eastAsia="Arial" w:hAnsi="Arial"/>
                <w:sz w:val="18"/>
                <w:szCs w:val="18"/>
                <w:color w:val="auto"/>
              </w:rPr>
              <w:t>Accounts payable</w:t>
            </w: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13,669,739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17,231,061</w:t>
            </w:r>
          </w:p>
        </w:tc>
        <w:tc>
          <w:tcPr>
            <w:tcW w:w="0" w:type="dxa"/>
            <w:vAlign w:val="bottom"/>
          </w:tcPr>
          <w:p>
            <w:pPr>
              <w:spacing w:after="0"/>
              <w:rPr>
                <w:sz w:val="1"/>
                <w:szCs w:val="1"/>
                <w:color w:val="auto"/>
              </w:rPr>
            </w:pPr>
          </w:p>
        </w:tc>
      </w:tr>
      <w:tr>
        <w:trPr>
          <w:trHeight w:val="223"/>
        </w:trPr>
        <w:tc>
          <w:tcPr>
            <w:tcW w:w="672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13,669,739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17,231,061</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12,440,224,027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11,510,139,934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5" w:right="47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Shell Provident Fund</w:t>
      </w:r>
    </w:p>
    <w:p>
      <w:pPr>
        <w:spacing w:after="0" w:line="41" w:lineRule="exact"/>
        <w:rPr>
          <w:sz w:val="20"/>
          <w:szCs w:val="20"/>
          <w:color w:val="auto"/>
        </w:rPr>
      </w:pPr>
    </w:p>
    <w:p>
      <w:pPr>
        <w:ind w:right="5000"/>
        <w:spacing w:after="0" w:line="251" w:lineRule="auto"/>
        <w:rPr>
          <w:sz w:val="20"/>
          <w:szCs w:val="20"/>
          <w:color w:val="auto"/>
        </w:rPr>
      </w:pPr>
      <w:r>
        <w:rPr>
          <w:rFonts w:ascii="Arial" w:cs="Arial" w:eastAsia="Arial" w:hAnsi="Arial"/>
          <w:sz w:val="22"/>
          <w:szCs w:val="22"/>
          <w:b w:val="1"/>
          <w:bCs w:val="1"/>
          <w:color w:val="auto"/>
        </w:rPr>
        <w:t>Statements of Changes in Net Assets Available for Benefits Years Ended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6720" w:type="dxa"/>
            <w:vAlign w:val="bottom"/>
            <w:vMerge w:val="restart"/>
          </w:tcPr>
          <w:p>
            <w:pPr>
              <w:spacing w:after="0"/>
              <w:rPr>
                <w:sz w:val="20"/>
                <w:szCs w:val="20"/>
                <w:color w:val="auto"/>
              </w:rPr>
            </w:pPr>
            <w:r>
              <w:rPr>
                <w:rFonts w:ascii="Arial" w:cs="Arial" w:eastAsia="Arial" w:hAnsi="Arial"/>
                <w:sz w:val="18"/>
                <w:szCs w:val="18"/>
                <w:b w:val="1"/>
                <w:bCs w:val="1"/>
                <w:color w:val="auto"/>
              </w:rPr>
              <w:t>Additions:</w:t>
            </w:r>
          </w:p>
        </w:tc>
        <w:tc>
          <w:tcPr>
            <w:tcW w:w="420" w:type="dxa"/>
            <w:vAlign w:val="bottom"/>
          </w:tcPr>
          <w:p>
            <w:pPr>
              <w:spacing w:after="0"/>
              <w:rPr>
                <w:sz w:val="17"/>
                <w:szCs w:val="17"/>
                <w:color w:val="auto"/>
              </w:rPr>
            </w:pPr>
          </w:p>
        </w:tc>
        <w:tc>
          <w:tcPr>
            <w:tcW w:w="16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2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45"/>
        </w:trPr>
        <w:tc>
          <w:tcPr>
            <w:tcW w:w="67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480"/>
              <w:spacing w:after="0"/>
              <w:rPr>
                <w:sz w:val="20"/>
                <w:szCs w:val="20"/>
                <w:color w:val="auto"/>
              </w:rPr>
            </w:pPr>
            <w:r>
              <w:rPr>
                <w:rFonts w:ascii="Arial" w:cs="Arial" w:eastAsia="Arial" w:hAnsi="Arial"/>
                <w:sz w:val="18"/>
                <w:szCs w:val="18"/>
                <w:color w:val="auto"/>
              </w:rPr>
              <w:t>Investment income</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700"/>
              <w:spacing w:after="0"/>
              <w:rPr>
                <w:sz w:val="20"/>
                <w:szCs w:val="20"/>
                <w:color w:val="auto"/>
              </w:rPr>
            </w:pPr>
            <w:r>
              <w:rPr>
                <w:rFonts w:ascii="Arial" w:cs="Arial" w:eastAsia="Arial" w:hAnsi="Arial"/>
                <w:sz w:val="18"/>
                <w:szCs w:val="18"/>
                <w:color w:val="auto"/>
              </w:rPr>
              <w:t>Dividends and interest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35,048,676</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41,462,000</w:t>
            </w:r>
          </w:p>
        </w:tc>
        <w:tc>
          <w:tcPr>
            <w:tcW w:w="0" w:type="dxa"/>
            <w:vAlign w:val="bottom"/>
          </w:tcPr>
          <w:p>
            <w:pPr>
              <w:spacing w:after="0"/>
              <w:rPr>
                <w:sz w:val="1"/>
                <w:szCs w:val="1"/>
                <w:color w:val="auto"/>
              </w:rPr>
            </w:pPr>
          </w:p>
        </w:tc>
      </w:tr>
      <w:tr>
        <w:trPr>
          <w:trHeight w:val="235"/>
        </w:trPr>
        <w:tc>
          <w:tcPr>
            <w:tcW w:w="6720" w:type="dxa"/>
            <w:vAlign w:val="bottom"/>
          </w:tcPr>
          <w:p>
            <w:pPr>
              <w:ind w:left="700"/>
              <w:spacing w:after="0"/>
              <w:rPr>
                <w:sz w:val="20"/>
                <w:szCs w:val="20"/>
                <w:color w:val="auto"/>
              </w:rPr>
            </w:pPr>
            <w:r>
              <w:rPr>
                <w:rFonts w:ascii="Arial" w:cs="Arial" w:eastAsia="Arial" w:hAnsi="Arial"/>
                <w:sz w:val="18"/>
                <w:szCs w:val="18"/>
                <w:color w:val="auto"/>
              </w:rPr>
              <w:t>Net appreciation/(depreciation) in fair value of investments</w:t>
            </w: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1,728,186,691</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1,339,414,229</w:t>
            </w:r>
          </w:p>
        </w:tc>
        <w:tc>
          <w:tcPr>
            <w:tcW w:w="0" w:type="dxa"/>
            <w:vAlign w:val="bottom"/>
          </w:tcPr>
          <w:p>
            <w:pPr>
              <w:spacing w:after="0"/>
              <w:rPr>
                <w:sz w:val="1"/>
                <w:szCs w:val="1"/>
                <w:color w:val="auto"/>
              </w:rPr>
            </w:pPr>
          </w:p>
        </w:tc>
      </w:tr>
      <w:tr>
        <w:trPr>
          <w:trHeight w:val="232"/>
        </w:trPr>
        <w:tc>
          <w:tcPr>
            <w:tcW w:w="6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1,763,235,367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1,380,876,229</w:t>
            </w:r>
          </w:p>
        </w:tc>
        <w:tc>
          <w:tcPr>
            <w:tcW w:w="0" w:type="dxa"/>
            <w:vAlign w:val="bottom"/>
          </w:tcPr>
          <w:p>
            <w:pPr>
              <w:spacing w:after="0"/>
              <w:rPr>
                <w:sz w:val="1"/>
                <w:szCs w:val="1"/>
                <w:color w:val="auto"/>
              </w:rPr>
            </w:pPr>
          </w:p>
        </w:tc>
      </w:tr>
      <w:tr>
        <w:trPr>
          <w:trHeight w:val="485"/>
        </w:trPr>
        <w:tc>
          <w:tcPr>
            <w:tcW w:w="6720" w:type="dxa"/>
            <w:vAlign w:val="bottom"/>
          </w:tcPr>
          <w:p>
            <w:pPr>
              <w:ind w:left="480"/>
              <w:spacing w:after="0"/>
              <w:rPr>
                <w:sz w:val="20"/>
                <w:szCs w:val="20"/>
                <w:color w:val="auto"/>
              </w:rPr>
            </w:pPr>
            <w:r>
              <w:rPr>
                <w:rFonts w:ascii="Arial" w:cs="Arial" w:eastAsia="Arial" w:hAnsi="Arial"/>
                <w:sz w:val="18"/>
                <w:szCs w:val="18"/>
                <w:color w:val="auto"/>
              </w:rPr>
              <w:t>Interest income on notes receivables from participants</w:t>
            </w:r>
          </w:p>
        </w:tc>
        <w:tc>
          <w:tcPr>
            <w:tcW w:w="420" w:type="dxa"/>
            <w:vAlign w:val="bottom"/>
          </w:tcPr>
          <w:p>
            <w:pPr>
              <w:spacing w:after="0"/>
              <w:rPr>
                <w:sz w:val="24"/>
                <w:szCs w:val="24"/>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5,752,675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5,361,120</w:t>
            </w:r>
          </w:p>
        </w:tc>
        <w:tc>
          <w:tcPr>
            <w:tcW w:w="0" w:type="dxa"/>
            <w:vAlign w:val="bottom"/>
          </w:tcPr>
          <w:p>
            <w:pPr>
              <w:spacing w:after="0"/>
              <w:rPr>
                <w:sz w:val="1"/>
                <w:szCs w:val="1"/>
                <w:color w:val="auto"/>
              </w:rPr>
            </w:pPr>
          </w:p>
        </w:tc>
      </w:tr>
      <w:tr>
        <w:trPr>
          <w:trHeight w:val="229"/>
        </w:trPr>
        <w:tc>
          <w:tcPr>
            <w:tcW w:w="6720" w:type="dxa"/>
            <w:vAlign w:val="bottom"/>
          </w:tcPr>
          <w:p>
            <w:pPr>
              <w:ind w:left="480"/>
              <w:spacing w:after="0"/>
              <w:rPr>
                <w:sz w:val="20"/>
                <w:szCs w:val="20"/>
                <w:color w:val="auto"/>
              </w:rPr>
            </w:pPr>
            <w:r>
              <w:rPr>
                <w:rFonts w:ascii="Arial" w:cs="Arial" w:eastAsia="Arial" w:hAnsi="Arial"/>
                <w:sz w:val="18"/>
                <w:szCs w:val="18"/>
                <w:color w:val="auto"/>
              </w:rPr>
              <w:t>Contributions</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700"/>
              <w:spacing w:after="0"/>
              <w:rPr>
                <w:sz w:val="20"/>
                <w:szCs w:val="20"/>
                <w:color w:val="auto"/>
              </w:rPr>
            </w:pPr>
            <w:r>
              <w:rPr>
                <w:rFonts w:ascii="Arial" w:cs="Arial" w:eastAsia="Arial" w:hAnsi="Arial"/>
                <w:sz w:val="18"/>
                <w:szCs w:val="18"/>
                <w:color w:val="auto"/>
              </w:rPr>
              <w:t>Participant</w:t>
            </w:r>
          </w:p>
        </w:tc>
        <w:tc>
          <w:tcPr>
            <w:tcW w:w="420" w:type="dxa"/>
            <w:vAlign w:val="bottom"/>
          </w:tcPr>
          <w:p>
            <w:pPr>
              <w:spacing w:after="0"/>
              <w:rPr>
                <w:sz w:val="19"/>
                <w:szCs w:val="19"/>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220,545,875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230,236,952</w:t>
            </w:r>
          </w:p>
        </w:tc>
        <w:tc>
          <w:tcPr>
            <w:tcW w:w="0" w:type="dxa"/>
            <w:vAlign w:val="bottom"/>
          </w:tcPr>
          <w:p>
            <w:pPr>
              <w:spacing w:after="0"/>
              <w:rPr>
                <w:sz w:val="1"/>
                <w:szCs w:val="1"/>
                <w:color w:val="auto"/>
              </w:rPr>
            </w:pPr>
          </w:p>
        </w:tc>
      </w:tr>
      <w:tr>
        <w:trPr>
          <w:trHeight w:val="230"/>
        </w:trPr>
        <w:tc>
          <w:tcPr>
            <w:tcW w:w="6720" w:type="dxa"/>
            <w:vAlign w:val="bottom"/>
          </w:tcPr>
          <w:p>
            <w:pPr>
              <w:ind w:left="700"/>
              <w:spacing w:after="0"/>
              <w:rPr>
                <w:sz w:val="20"/>
                <w:szCs w:val="20"/>
                <w:color w:val="auto"/>
              </w:rPr>
            </w:pPr>
            <w:r>
              <w:rPr>
                <w:rFonts w:ascii="Arial" w:cs="Arial" w:eastAsia="Arial" w:hAnsi="Arial"/>
                <w:sz w:val="18"/>
                <w:szCs w:val="18"/>
                <w:color w:val="auto"/>
              </w:rPr>
              <w:t>Employer</w:t>
            </w:r>
          </w:p>
        </w:tc>
        <w:tc>
          <w:tcPr>
            <w:tcW w:w="420" w:type="dxa"/>
            <w:vAlign w:val="bottom"/>
          </w:tcPr>
          <w:p>
            <w:pPr>
              <w:spacing w:after="0"/>
              <w:rPr>
                <w:sz w:val="19"/>
                <w:szCs w:val="19"/>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200,108,934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210,061,968</w:t>
            </w:r>
          </w:p>
        </w:tc>
        <w:tc>
          <w:tcPr>
            <w:tcW w:w="0" w:type="dxa"/>
            <w:vAlign w:val="bottom"/>
          </w:tcPr>
          <w:p>
            <w:pPr>
              <w:spacing w:after="0"/>
              <w:rPr>
                <w:sz w:val="1"/>
                <w:szCs w:val="1"/>
                <w:color w:val="auto"/>
              </w:rPr>
            </w:pPr>
          </w:p>
        </w:tc>
      </w:tr>
      <w:tr>
        <w:trPr>
          <w:trHeight w:val="235"/>
        </w:trPr>
        <w:tc>
          <w:tcPr>
            <w:tcW w:w="6720" w:type="dxa"/>
            <w:vAlign w:val="bottom"/>
          </w:tcPr>
          <w:p>
            <w:pPr>
              <w:ind w:left="700"/>
              <w:spacing w:after="0"/>
              <w:rPr>
                <w:sz w:val="20"/>
                <w:szCs w:val="20"/>
                <w:color w:val="auto"/>
              </w:rPr>
            </w:pPr>
            <w:r>
              <w:rPr>
                <w:rFonts w:ascii="Arial" w:cs="Arial" w:eastAsia="Arial" w:hAnsi="Arial"/>
                <w:sz w:val="18"/>
                <w:szCs w:val="18"/>
                <w:color w:val="auto"/>
              </w:rPr>
              <w:t>Rollover/other</w:t>
            </w: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54,432,860</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34,155,503</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475,087,669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474,454,423</w:t>
            </w:r>
          </w:p>
        </w:tc>
        <w:tc>
          <w:tcPr>
            <w:tcW w:w="0" w:type="dxa"/>
            <w:vAlign w:val="bottom"/>
          </w:tcPr>
          <w:p>
            <w:pPr>
              <w:spacing w:after="0"/>
              <w:rPr>
                <w:sz w:val="1"/>
                <w:szCs w:val="1"/>
                <w:color w:val="auto"/>
              </w:rPr>
            </w:pPr>
          </w:p>
        </w:tc>
      </w:tr>
      <w:tr>
        <w:trPr>
          <w:trHeight w:val="218"/>
        </w:trPr>
        <w:tc>
          <w:tcPr>
            <w:tcW w:w="6720" w:type="dxa"/>
            <w:vAlign w:val="bottom"/>
          </w:tcPr>
          <w:p>
            <w:pPr>
              <w:ind w:left="700"/>
              <w:spacing w:after="0"/>
              <w:rPr>
                <w:sz w:val="20"/>
                <w:szCs w:val="20"/>
                <w:color w:val="auto"/>
              </w:rPr>
            </w:pPr>
            <w:r>
              <w:rPr>
                <w:rFonts w:ascii="Arial" w:cs="Arial" w:eastAsia="Arial" w:hAnsi="Arial"/>
                <w:sz w:val="18"/>
                <w:szCs w:val="18"/>
                <w:color w:val="auto"/>
              </w:rPr>
              <w:t>Total additions</w:t>
            </w:r>
          </w:p>
        </w:tc>
        <w:tc>
          <w:tcPr>
            <w:tcW w:w="42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2,244,075,711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1,860,691,772</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b w:val="1"/>
                <w:bCs w:val="1"/>
                <w:color w:val="auto"/>
              </w:rPr>
              <w:t>Deductions:</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480"/>
              <w:spacing w:after="0"/>
              <w:rPr>
                <w:sz w:val="20"/>
                <w:szCs w:val="20"/>
                <w:color w:val="auto"/>
              </w:rPr>
            </w:pPr>
            <w:r>
              <w:rPr>
                <w:rFonts w:ascii="Arial" w:cs="Arial" w:eastAsia="Arial" w:hAnsi="Arial"/>
                <w:sz w:val="18"/>
                <w:szCs w:val="18"/>
                <w:color w:val="auto"/>
              </w:rPr>
              <w:t>Participant distributions and withdrawals</w:t>
            </w:r>
          </w:p>
        </w:tc>
        <w:tc>
          <w:tcPr>
            <w:tcW w:w="420" w:type="dxa"/>
            <w:vAlign w:val="bottom"/>
          </w:tcPr>
          <w:p>
            <w:pPr>
              <w:spacing w:after="0"/>
              <w:rPr>
                <w:sz w:val="19"/>
                <w:szCs w:val="19"/>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1,306,805,269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1,059,452,244</w:t>
            </w:r>
          </w:p>
        </w:tc>
        <w:tc>
          <w:tcPr>
            <w:tcW w:w="0" w:type="dxa"/>
            <w:vAlign w:val="bottom"/>
          </w:tcPr>
          <w:p>
            <w:pPr>
              <w:spacing w:after="0"/>
              <w:rPr>
                <w:sz w:val="1"/>
                <w:szCs w:val="1"/>
                <w:color w:val="auto"/>
              </w:rPr>
            </w:pPr>
          </w:p>
        </w:tc>
      </w:tr>
      <w:tr>
        <w:trPr>
          <w:trHeight w:val="235"/>
        </w:trPr>
        <w:tc>
          <w:tcPr>
            <w:tcW w:w="6720" w:type="dxa"/>
            <w:vAlign w:val="bottom"/>
          </w:tcPr>
          <w:p>
            <w:pPr>
              <w:ind w:left="480"/>
              <w:spacing w:after="0"/>
              <w:rPr>
                <w:sz w:val="20"/>
                <w:szCs w:val="20"/>
                <w:color w:val="auto"/>
              </w:rPr>
            </w:pPr>
            <w:r>
              <w:rPr>
                <w:rFonts w:ascii="Arial" w:cs="Arial" w:eastAsia="Arial" w:hAnsi="Arial"/>
                <w:sz w:val="18"/>
                <w:szCs w:val="18"/>
                <w:color w:val="auto"/>
              </w:rPr>
              <w:t>Administrative expenses</w:t>
            </w: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7,186,349</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7,367,776</w:t>
            </w:r>
          </w:p>
        </w:tc>
        <w:tc>
          <w:tcPr>
            <w:tcW w:w="0" w:type="dxa"/>
            <w:vAlign w:val="bottom"/>
          </w:tcPr>
          <w:p>
            <w:pPr>
              <w:spacing w:after="0"/>
              <w:rPr>
                <w:sz w:val="1"/>
                <w:szCs w:val="1"/>
                <w:color w:val="auto"/>
              </w:rPr>
            </w:pPr>
          </w:p>
        </w:tc>
      </w:tr>
      <w:tr>
        <w:trPr>
          <w:trHeight w:val="223"/>
        </w:trPr>
        <w:tc>
          <w:tcPr>
            <w:tcW w:w="6720" w:type="dxa"/>
            <w:vAlign w:val="bottom"/>
          </w:tcPr>
          <w:p>
            <w:pPr>
              <w:ind w:left="700"/>
              <w:spacing w:after="0"/>
              <w:rPr>
                <w:sz w:val="20"/>
                <w:szCs w:val="20"/>
                <w:color w:val="auto"/>
              </w:rPr>
            </w:pPr>
            <w:r>
              <w:rPr>
                <w:rFonts w:ascii="Arial" w:cs="Arial" w:eastAsia="Arial" w:hAnsi="Arial"/>
                <w:sz w:val="18"/>
                <w:szCs w:val="18"/>
                <w:color w:val="auto"/>
              </w:rPr>
              <w:t>Total deductions</w:t>
            </w: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1,313,991,618</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1,066,820,020</w:t>
            </w:r>
          </w:p>
        </w:tc>
        <w:tc>
          <w:tcPr>
            <w:tcW w:w="0" w:type="dxa"/>
            <w:vAlign w:val="bottom"/>
          </w:tcPr>
          <w:p>
            <w:pPr>
              <w:spacing w:after="0"/>
              <w:rPr>
                <w:sz w:val="1"/>
                <w:szCs w:val="1"/>
                <w:color w:val="auto"/>
              </w:rPr>
            </w:pPr>
          </w:p>
        </w:tc>
      </w:tr>
      <w:tr>
        <w:trPr>
          <w:trHeight w:val="218"/>
        </w:trPr>
        <w:tc>
          <w:tcPr>
            <w:tcW w:w="6720" w:type="dxa"/>
            <w:vAlign w:val="bottom"/>
          </w:tcPr>
          <w:p>
            <w:pPr>
              <w:spacing w:after="0"/>
              <w:rPr>
                <w:sz w:val="20"/>
                <w:szCs w:val="20"/>
                <w:color w:val="auto"/>
              </w:rPr>
            </w:pPr>
            <w:r>
              <w:rPr>
                <w:rFonts w:ascii="Arial" w:cs="Arial" w:eastAsia="Arial" w:hAnsi="Arial"/>
                <w:sz w:val="18"/>
                <w:szCs w:val="18"/>
                <w:color w:val="auto"/>
              </w:rPr>
              <w:t>Net increase/(decrease)</w:t>
            </w:r>
          </w:p>
        </w:tc>
        <w:tc>
          <w:tcPr>
            <w:tcW w:w="420" w:type="dxa"/>
            <w:vAlign w:val="bottom"/>
          </w:tcPr>
          <w:p>
            <w:pPr>
              <w:spacing w:after="0"/>
              <w:rPr>
                <w:sz w:val="18"/>
                <w:szCs w:val="18"/>
                <w:color w:val="auto"/>
              </w:rPr>
            </w:pPr>
          </w:p>
        </w:tc>
        <w:tc>
          <w:tcPr>
            <w:tcW w:w="1620" w:type="dxa"/>
            <w:vAlign w:val="bottom"/>
            <w:gridSpan w:val="3"/>
          </w:tcPr>
          <w:p>
            <w:pPr>
              <w:jc w:val="right"/>
              <w:ind w:right="60"/>
              <w:spacing w:after="0"/>
              <w:rPr>
                <w:sz w:val="20"/>
                <w:szCs w:val="20"/>
                <w:color w:val="auto"/>
              </w:rPr>
            </w:pPr>
            <w:r>
              <w:rPr>
                <w:rFonts w:ascii="Arial" w:cs="Arial" w:eastAsia="Arial" w:hAnsi="Arial"/>
                <w:sz w:val="18"/>
                <w:szCs w:val="18"/>
                <w:color w:val="auto"/>
              </w:rPr>
              <w:t>930,084,093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793,871,752</w:t>
            </w:r>
          </w:p>
        </w:tc>
        <w:tc>
          <w:tcPr>
            <w:tcW w:w="0" w:type="dxa"/>
            <w:vAlign w:val="bottom"/>
          </w:tcPr>
          <w:p>
            <w:pPr>
              <w:spacing w:after="0"/>
              <w:rPr>
                <w:sz w:val="1"/>
                <w:szCs w:val="1"/>
                <w:color w:val="auto"/>
              </w:rPr>
            </w:pPr>
          </w:p>
        </w:tc>
      </w:tr>
      <w:tr>
        <w:trPr>
          <w:trHeight w:val="230"/>
        </w:trPr>
        <w:tc>
          <w:tcPr>
            <w:tcW w:w="6720" w:type="dxa"/>
            <w:vAlign w:val="bottom"/>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720" w:type="dxa"/>
            <w:vAlign w:val="bottom"/>
          </w:tcPr>
          <w:p>
            <w:pPr>
              <w:ind w:left="260"/>
              <w:spacing w:after="0"/>
              <w:rPr>
                <w:sz w:val="20"/>
                <w:szCs w:val="20"/>
                <w:color w:val="auto"/>
              </w:rPr>
            </w:pPr>
            <w:r>
              <w:rPr>
                <w:rFonts w:ascii="Arial" w:cs="Arial" w:eastAsia="Arial" w:hAnsi="Arial"/>
                <w:sz w:val="18"/>
                <w:szCs w:val="18"/>
                <w:color w:val="auto"/>
              </w:rPr>
              <w:t>Beginning of year</w:t>
            </w: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11,510,139,934</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10,716,268,182</w:t>
            </w:r>
          </w:p>
        </w:tc>
        <w:tc>
          <w:tcPr>
            <w:tcW w:w="0" w:type="dxa"/>
            <w:vAlign w:val="bottom"/>
          </w:tcPr>
          <w:p>
            <w:pPr>
              <w:spacing w:after="0"/>
              <w:rPr>
                <w:sz w:val="1"/>
                <w:szCs w:val="1"/>
                <w:color w:val="auto"/>
              </w:rPr>
            </w:pPr>
          </w:p>
        </w:tc>
      </w:tr>
      <w:tr>
        <w:trPr>
          <w:trHeight w:val="223"/>
        </w:trPr>
        <w:tc>
          <w:tcPr>
            <w:tcW w:w="6720" w:type="dxa"/>
            <w:vAlign w:val="bottom"/>
          </w:tcPr>
          <w:p>
            <w:pPr>
              <w:ind w:left="260"/>
              <w:spacing w:after="0"/>
              <w:rPr>
                <w:sz w:val="20"/>
                <w:szCs w:val="20"/>
                <w:color w:val="auto"/>
              </w:rPr>
            </w:pPr>
            <w:r>
              <w:rPr>
                <w:rFonts w:ascii="Arial" w:cs="Arial" w:eastAsia="Arial" w:hAnsi="Arial"/>
                <w:sz w:val="18"/>
                <w:szCs w:val="18"/>
                <w:color w:val="auto"/>
              </w:rPr>
              <w:t>End of year</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12,440,224,027</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11,510,139,934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5" w:right="479" w:bottom="1440" w:gutter="0" w:footer="0" w:header="0"/>
        </w:sectPr>
      </w:pPr>
    </w:p>
    <w:bookmarkStart w:id="7" w:name="page8"/>
    <w:bookmarkEnd w:id="7"/>
    <w:p>
      <w:pPr>
        <w:spacing w:after="0" w:line="220" w:lineRule="exact"/>
        <w:rPr>
          <w:sz w:val="20"/>
          <w:szCs w:val="20"/>
          <w:color w:val="auto"/>
        </w:rPr>
      </w:pPr>
    </w:p>
    <w:p>
      <w:pPr>
        <w:ind w:left="520" w:hanging="512"/>
        <w:spacing w:after="0"/>
        <w:tabs>
          <w:tab w:leader="none" w:pos="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Plan Description</w:t>
      </w:r>
    </w:p>
    <w:p>
      <w:pPr>
        <w:spacing w:after="0" w:line="2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7" w:lineRule="exact"/>
        <w:rPr>
          <w:rFonts w:ascii="Arial" w:cs="Arial" w:eastAsia="Arial" w:hAnsi="Arial"/>
          <w:sz w:val="18"/>
          <w:szCs w:val="18"/>
          <w:b w:val="1"/>
          <w:bCs w:val="1"/>
          <w:color w:val="auto"/>
        </w:rPr>
      </w:pPr>
    </w:p>
    <w:p>
      <w:pPr>
        <w:jc w:val="both"/>
        <w:ind w:left="52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Shell Provident Fund (“the Plan”) is a defined contribution plan subject to the provisions of the Employee Retirement Income Security Act of 1974 (ERISA), as amended, and is described more fully in the Plan Instrument (the Regulations) and Trust Agreement, which govern the Plan.</w:t>
      </w:r>
    </w:p>
    <w:p>
      <w:pPr>
        <w:spacing w:after="0" w:line="178"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Eligibility and Contributions</w:t>
      </w:r>
    </w:p>
    <w:p>
      <w:pPr>
        <w:spacing w:after="0" w:line="27" w:lineRule="exact"/>
        <w:rPr>
          <w:rFonts w:ascii="Arial" w:cs="Arial" w:eastAsia="Arial" w:hAnsi="Arial"/>
          <w:sz w:val="18"/>
          <w:szCs w:val="18"/>
          <w:b w:val="1"/>
          <w:bCs w:val="1"/>
          <w:color w:val="auto"/>
        </w:rPr>
      </w:pPr>
    </w:p>
    <w:p>
      <w:pPr>
        <w:ind w:left="52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Employees of Shell USA, Inc. (“Shell”) and certain affiliated companies (“Contributing Companies”) may elect to contribute up to 50% of their eligible compensation on a pre-tax basis, up to 50% on an after-tax Roth 401(k) basis and up to 25% on a standard after-tax basis (non-Roth 401(k)) to the Plan, subject to federal tax limitations for all contributions. All new employees or rehired employees who do not elect otherwise are automatically enrolled to contribute 3% of their base pay on a pre-tax basis. The Contributing Companies make contributions to each eligible employee’s account based on their base and variable pay immediately upon hire at a rate of 2.5% until the completion of 6 years of accredited service, at a rate of 5.0% after completion of 6 years of accredited service until the completion of 9 years of accredited service, and at a rate of 10.0% after completion of 9 years of accredited service. The Plan also allows Roth in-plan conversions. Employees may elect to roll over an account from another qualified retirement plan or IRA into the Plan if certain requirements are met (current Federal law prevents the Plan from accepting rollovers from Roth IRAs).</w:t>
      </w:r>
    </w:p>
    <w:p>
      <w:pPr>
        <w:spacing w:after="0" w:line="185" w:lineRule="exact"/>
        <w:rPr>
          <w:rFonts w:ascii="Arial" w:cs="Arial" w:eastAsia="Arial" w:hAnsi="Arial"/>
          <w:sz w:val="18"/>
          <w:szCs w:val="18"/>
          <w:b w:val="1"/>
          <w:bCs w:val="1"/>
          <w:color w:val="auto"/>
        </w:rPr>
      </w:pPr>
    </w:p>
    <w:p>
      <w:pPr>
        <w:jc w:val="both"/>
        <w:ind w:left="5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Each participant’s account is credited with the participant’s and company contributions along with investment returns based on each participant’s investment direction. Participants may direct the investment of their account balances into various investment options including short-term investments, a company stock fund, common/collective funds, registered investment company funds (mutual funds), and a self-directed brokerage account (“BrokerageLink”). For participants who do not select an investment election, contributions, as well as rollovers to the Plan, loan repayments, and restored forfeitures are credited to a BlackRock LifePath Fund (default fund) based on their date of birth.</w:t>
      </w:r>
    </w:p>
    <w:p>
      <w:pPr>
        <w:spacing w:after="0" w:line="182" w:lineRule="exact"/>
        <w:rPr>
          <w:rFonts w:ascii="Arial" w:cs="Arial" w:eastAsia="Arial" w:hAnsi="Arial"/>
          <w:sz w:val="18"/>
          <w:szCs w:val="18"/>
          <w:b w:val="1"/>
          <w:bCs w:val="1"/>
          <w:color w:val="auto"/>
        </w:rPr>
      </w:pPr>
    </w:p>
    <w:p>
      <w:pPr>
        <w:jc w:val="both"/>
        <w:ind w:left="5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Investment managers of the investment options invest funds at their discretion, as governed by the Plan instrument, investment manager agreements and prospectuses. The BrokerageLink account provides participants access to zero coupon, mortgage-backed, corporate, and government bonds, US Treasuries, certificates of deposit, equities, and various mutual funds. Investments in the Plan are valued at the end of each business day.</w:t>
      </w:r>
    </w:p>
    <w:p>
      <w:pPr>
        <w:spacing w:after="0" w:line="17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Vesting and Withdrawals</w:t>
      </w:r>
    </w:p>
    <w:p>
      <w:pPr>
        <w:spacing w:after="0" w:line="27" w:lineRule="exact"/>
        <w:rPr>
          <w:rFonts w:ascii="Arial" w:cs="Arial" w:eastAsia="Arial" w:hAnsi="Arial"/>
          <w:sz w:val="18"/>
          <w:szCs w:val="18"/>
          <w:b w:val="1"/>
          <w:bCs w:val="1"/>
          <w:color w:val="auto"/>
        </w:rPr>
      </w:pPr>
    </w:p>
    <w:p>
      <w:pPr>
        <w:jc w:val="both"/>
        <w:ind w:left="5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Participants are immediately vested in all contributions to their accounts plus actual earnings or losses thereon. The Plan operationally adopted certain required minimum distribution provisions of the Setting Every Community Up for Retirement Enhancement Act (“SECURE Act”) that were effective beginning with the 2020 plan year, including not requiring minimum distributions until age 72. Additionally, required minimum distributions beginning in 2020 were delayed by one year, but may still be received at the request of a participant. To comply with the SECURE Act, the Plan will be amended on or before December 31, 2026, or such later date as the Secretary of the Treasury may prescribe, to reflect the changes made to the Plan. Active employees age 59-1/2 or older may elect to withdraw their entire account balances or any portion thereof, without incurring any suspension of contributions. Active employees may withdraw their own standard after-tax contributions (plus any such after-tax contributions converted into Roth amounts) without any time or limit restriction. Active employees may also withdraw their own Roth 401(k) contributions, former pre-tax contributions that were converted into Roth amounts and pre-tax contributions in the event that they satisfy the Plan’s financial hardship requirements. A variable payment option, which provides unlimited monthly, quarterly, semi-annual or annual drawdowns of a participant’s account, is available for certain qualified Plan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color w:val="auto"/>
        </w:rPr>
        <w:t>Notes Receivable from Participants</w:t>
      </w:r>
    </w:p>
    <w:p>
      <w:pPr>
        <w:spacing w:after="0" w:line="27" w:lineRule="exact"/>
        <w:rPr>
          <w:sz w:val="20"/>
          <w:szCs w:val="20"/>
          <w:color w:val="auto"/>
        </w:rPr>
      </w:pPr>
    </w:p>
    <w:p>
      <w:pPr>
        <w:jc w:val="both"/>
        <w:ind w:left="520"/>
        <w:spacing w:after="0" w:line="258" w:lineRule="auto"/>
        <w:rPr>
          <w:sz w:val="20"/>
          <w:szCs w:val="20"/>
          <w:color w:val="auto"/>
        </w:rPr>
      </w:pPr>
      <w:r>
        <w:rPr>
          <w:rFonts w:ascii="Arial" w:cs="Arial" w:eastAsia="Arial" w:hAnsi="Arial"/>
          <w:sz w:val="18"/>
          <w:szCs w:val="18"/>
          <w:color w:val="auto"/>
        </w:rPr>
        <w:t>Participants may borrow from their accounts a minimum of $500 up to a maximum equal to the lesser of $50,000, after considering the highest loan balance during the previous twelve months, or 50% of their account balance. The loans are secured by the balance in the participant’s account and bear interest at a rate established by the Plan Administrator, generally based upon the Prime Rate.</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Forfeiture Account</w:t>
      </w:r>
    </w:p>
    <w:p>
      <w:pPr>
        <w:spacing w:after="0" w:line="27" w:lineRule="exact"/>
        <w:rPr>
          <w:sz w:val="20"/>
          <w:szCs w:val="20"/>
          <w:color w:val="auto"/>
        </w:rPr>
      </w:pPr>
    </w:p>
    <w:p>
      <w:pPr>
        <w:ind w:left="520" w:right="280"/>
        <w:spacing w:after="0" w:line="296" w:lineRule="auto"/>
        <w:rPr>
          <w:sz w:val="20"/>
          <w:szCs w:val="20"/>
          <w:color w:val="auto"/>
        </w:rPr>
      </w:pPr>
      <w:r>
        <w:rPr>
          <w:rFonts w:ascii="Arial" w:cs="Arial" w:eastAsia="Arial" w:hAnsi="Arial"/>
          <w:sz w:val="17"/>
          <w:szCs w:val="17"/>
          <w:color w:val="auto"/>
        </w:rPr>
        <w:t>At December 31, 2025 and 2024, the forfeiture account totaled $376,825 and $108,006 respectively. The account is used to reduce current and future employer contributions and to pay Plan expenses. Forfeitures used during 2025 and 2024 were not material.</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Plan Expenses</w:t>
      </w:r>
    </w:p>
    <w:p>
      <w:pPr>
        <w:spacing w:after="0" w:line="27" w:lineRule="exact"/>
        <w:rPr>
          <w:sz w:val="20"/>
          <w:szCs w:val="20"/>
          <w:color w:val="auto"/>
        </w:rPr>
      </w:pPr>
    </w:p>
    <w:p>
      <w:pPr>
        <w:jc w:val="both"/>
        <w:ind w:left="520"/>
        <w:spacing w:after="0" w:line="255" w:lineRule="auto"/>
        <w:rPr>
          <w:sz w:val="20"/>
          <w:szCs w:val="20"/>
          <w:color w:val="auto"/>
        </w:rPr>
      </w:pPr>
      <w:r>
        <w:rPr>
          <w:rFonts w:ascii="Arial" w:cs="Arial" w:eastAsia="Arial" w:hAnsi="Arial"/>
          <w:sz w:val="18"/>
          <w:szCs w:val="18"/>
          <w:color w:val="auto"/>
        </w:rPr>
        <w:t>There are investment fees and expenses associated with each Plan investment option. Investment fees are generally charged directly against assets of the investment option and include such items as the costs expressed in the expense ratio plus brokerage fees incurred by the fund. Participants who utilize the Plan’s BrokerageLink investment feature are also responsible for brokerage fees and commissions. Participants that enroll in the Plan’s managed account service will incur a separate fee for that service.</w:t>
      </w:r>
    </w:p>
    <w:p>
      <w:pPr>
        <w:spacing w:after="0" w:line="182" w:lineRule="exact"/>
        <w:rPr>
          <w:sz w:val="20"/>
          <w:szCs w:val="20"/>
          <w:color w:val="auto"/>
        </w:rPr>
      </w:pPr>
    </w:p>
    <w:p>
      <w:pPr>
        <w:jc w:val="both"/>
        <w:ind w:left="520"/>
        <w:spacing w:after="0" w:line="262" w:lineRule="auto"/>
        <w:rPr>
          <w:sz w:val="20"/>
          <w:szCs w:val="20"/>
          <w:color w:val="auto"/>
        </w:rPr>
      </w:pPr>
      <w:r>
        <w:rPr>
          <w:rFonts w:ascii="Arial" w:cs="Arial" w:eastAsia="Arial" w:hAnsi="Arial"/>
          <w:sz w:val="18"/>
          <w:szCs w:val="18"/>
          <w:color w:val="auto"/>
        </w:rPr>
        <w:t>The administrative expenses associated with the Plan include costs for accounting, custodial, recordkeeping, and other internal or external service providers. While participant accounts have not been charged for such administrative expenses in recent years due to the application of various credits applied towards Plan expenses, under the terms of the Plan, operating and administrative expenses can be charged directly to participants’ accounts.</w:t>
      </w:r>
    </w:p>
    <w:p>
      <w:pPr>
        <w:spacing w:after="0" w:line="176" w:lineRule="exact"/>
        <w:rPr>
          <w:sz w:val="20"/>
          <w:szCs w:val="20"/>
          <w:color w:val="auto"/>
        </w:rPr>
      </w:pPr>
    </w:p>
    <w:p>
      <w:pPr>
        <w:ind w:left="520" w:right="40"/>
        <w:spacing w:after="0" w:line="256" w:lineRule="auto"/>
        <w:rPr>
          <w:sz w:val="20"/>
          <w:szCs w:val="20"/>
          <w:color w:val="auto"/>
        </w:rPr>
      </w:pPr>
      <w:r>
        <w:rPr>
          <w:rFonts w:ascii="Arial" w:cs="Arial" w:eastAsia="Arial" w:hAnsi="Arial"/>
          <w:sz w:val="18"/>
          <w:szCs w:val="18"/>
          <w:color w:val="auto"/>
        </w:rPr>
        <w:t>Under the Plan’s recordkeeping agreement, the Plan receives payments (revenue credits) for the amount that revenue sharing related to the Plan’s investment options exceeds specified Plan expenses. The Plan uses revenue credits to pay for additional costs of operating the Plan. In the event that revenue credits exceed these Plan costs, residual amounts will be allocated to participant accounts on a schedule and in a manner established by the Plan Administrator. Revenue credits received and used by the Plan during 2025 and 2024 were not material. Amounts received on account of litigation settlements can also be used by the Plan to pay Plan expenses. In the event that Plan expenses exceed the amounts available as described above, residual operating expenses are charged to participants’ accounts.</w:t>
      </w:r>
    </w:p>
    <w:p>
      <w:pPr>
        <w:spacing w:after="0" w:line="183"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Some Plan service providers are paid directly by Shell on the Plan’s behalf. When service providers are paid by Shell on the Plan’s behalf, Shell is reimbursed by the Plan for such expenses to the extent permitted by law. Unreimbursed expenses incurred by Shell to be reimbursed by the Plan totaled $144,312 and $50,207 at December 31, 2025 and 2024, respectively, and are included in accounts payable. Other indirect costs (including Trustee/Plan Administrator salaries and data processing expenses) are absorbed by the Contributing Companies.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Plan Termination</w:t>
      </w:r>
    </w:p>
    <w:p>
      <w:pPr>
        <w:spacing w:after="0" w:line="27" w:lineRule="exact"/>
        <w:rPr>
          <w:sz w:val="20"/>
          <w:szCs w:val="20"/>
          <w:color w:val="auto"/>
        </w:rPr>
      </w:pPr>
    </w:p>
    <w:p>
      <w:pPr>
        <w:jc w:val="both"/>
        <w:ind w:left="520"/>
        <w:spacing w:after="0" w:line="258" w:lineRule="auto"/>
        <w:rPr>
          <w:sz w:val="20"/>
          <w:szCs w:val="20"/>
          <w:color w:val="auto"/>
        </w:rPr>
      </w:pPr>
      <w:r>
        <w:rPr>
          <w:rFonts w:ascii="Arial" w:cs="Arial" w:eastAsia="Arial" w:hAnsi="Arial"/>
          <w:sz w:val="18"/>
          <w:szCs w:val="18"/>
          <w:color w:val="auto"/>
        </w:rPr>
        <w:t>The Plan is intended to be an ongoing part of the benefit plans of the Contributing Companies. However, the right is reserved to amend or terminate the Plan. Subject to the provisions of ERISA, should the Plan be terminated, participants will receive payment of their account balances.</w:t>
      </w:r>
    </w:p>
    <w:p>
      <w:pPr>
        <w:spacing w:after="0" w:line="178"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2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prepared on the accrual basis of accounting.</w:t>
      </w:r>
    </w:p>
    <w:p>
      <w:pPr>
        <w:spacing w:after="0" w:line="225" w:lineRule="exact"/>
        <w:rPr>
          <w:rFonts w:ascii="Arial" w:cs="Arial" w:eastAsia="Arial" w:hAnsi="Arial"/>
          <w:sz w:val="18"/>
          <w:szCs w:val="18"/>
          <w:b w:val="1"/>
          <w:bCs w:val="1"/>
          <w:color w:val="auto"/>
        </w:rPr>
      </w:pPr>
    </w:p>
    <w:p>
      <w:pPr>
        <w:jc w:val="both"/>
        <w:ind w:left="52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accordance with accounting principles generally accepted in the United States of America requires management to make estimates that affect the reported amounts of assets and liabilities and changes therein, and disclosure of contingent assets and liabilities.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both"/>
        <w:ind w:left="520"/>
        <w:spacing w:after="0" w:line="287" w:lineRule="auto"/>
        <w:rPr>
          <w:sz w:val="20"/>
          <w:szCs w:val="20"/>
          <w:color w:val="auto"/>
        </w:rPr>
      </w:pPr>
      <w:r>
        <w:rPr>
          <w:rFonts w:ascii="Arial" w:cs="Arial" w:eastAsia="Arial" w:hAnsi="Arial"/>
          <w:sz w:val="18"/>
          <w:szCs w:val="18"/>
          <w:color w:val="auto"/>
        </w:rPr>
        <w:t>Investments are reported at fair value. Fair value is the price that would be received to sell an asset or paid to transfer a liability in an orderly transaction between market participants at the measurement date. See Note 7 for fair value measurement.</w:t>
      </w:r>
    </w:p>
    <w:p>
      <w:pPr>
        <w:spacing w:after="0" w:line="153" w:lineRule="exact"/>
        <w:rPr>
          <w:sz w:val="20"/>
          <w:szCs w:val="20"/>
          <w:color w:val="auto"/>
        </w:rPr>
      </w:pPr>
    </w:p>
    <w:p>
      <w:pPr>
        <w:jc w:val="both"/>
        <w:ind w:left="520"/>
        <w:spacing w:after="0" w:line="268"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Interest income is recorded on the accrual basis. Related fees are recorded as administrative expenses and are expensed when they are incurred. No allowance for credit losses has been recorded as of December 31, 2025 or 2024.</w:t>
      </w:r>
    </w:p>
    <w:p>
      <w:pPr>
        <w:spacing w:after="0" w:line="171" w:lineRule="exact"/>
        <w:rPr>
          <w:sz w:val="20"/>
          <w:szCs w:val="20"/>
          <w:color w:val="auto"/>
        </w:rPr>
      </w:pPr>
    </w:p>
    <w:p>
      <w:pPr>
        <w:jc w:val="both"/>
        <w:ind w:left="520"/>
        <w:spacing w:after="0" w:line="262" w:lineRule="auto"/>
        <w:rPr>
          <w:sz w:val="20"/>
          <w:szCs w:val="20"/>
          <w:color w:val="auto"/>
        </w:rPr>
      </w:pPr>
      <w:r>
        <w:rPr>
          <w:rFonts w:ascii="Arial" w:cs="Arial" w:eastAsia="Arial" w:hAnsi="Arial"/>
          <w:sz w:val="18"/>
          <w:szCs w:val="18"/>
          <w:color w:val="auto"/>
        </w:rPr>
        <w:t>Brokerage commissions, transfer taxes, and other fees are added to the cost of purchases or deducted from the proceeds of sales. Purchases and sales of securities are recorded on a trade-date basis. Interest income is recorded on the accrual basis. Dividends are recorded on the ex-dividend date. Net appreciation/(depreciation) includes the Plan’s gains and losses on investments bought and sold as well as held during the year. Participant distributions or withdrawals are recorded when paid.</w:t>
      </w:r>
    </w:p>
    <w:p>
      <w:pPr>
        <w:spacing w:after="0" w:line="176"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 of the Plan</w:t>
      </w:r>
    </w:p>
    <w:p>
      <w:pPr>
        <w:spacing w:after="0" w:line="225" w:lineRule="exact"/>
        <w:rPr>
          <w:rFonts w:ascii="Arial" w:cs="Arial" w:eastAsia="Arial" w:hAnsi="Arial"/>
          <w:sz w:val="18"/>
          <w:szCs w:val="18"/>
          <w:b w:val="1"/>
          <w:bCs w:val="1"/>
          <w:color w:val="auto"/>
        </w:rPr>
      </w:pPr>
    </w:p>
    <w:p>
      <w:pPr>
        <w:ind w:left="520" w:right="8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Thrift Fund and the Shell Stock Fund each have an available line of credit to fund redemptions as needed. At December 31, 2025 and 2024, the Plan had no amounts outstanding under the lines of credit.</w:t>
      </w:r>
    </w:p>
    <w:p>
      <w:pPr>
        <w:spacing w:after="0" w:line="152" w:lineRule="exact"/>
        <w:rPr>
          <w:rFonts w:ascii="Arial" w:cs="Arial" w:eastAsia="Arial" w:hAnsi="Arial"/>
          <w:sz w:val="18"/>
          <w:szCs w:val="18"/>
          <w:b w:val="1"/>
          <w:bCs w:val="1"/>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25" w:lineRule="exact"/>
        <w:rPr>
          <w:rFonts w:ascii="Arial" w:cs="Arial" w:eastAsia="Arial" w:hAnsi="Arial"/>
          <w:sz w:val="18"/>
          <w:szCs w:val="18"/>
          <w:b w:val="1"/>
          <w:bCs w:val="1"/>
          <w:color w:val="auto"/>
        </w:rPr>
      </w:pPr>
    </w:p>
    <w:p>
      <w:pPr>
        <w:jc w:val="both"/>
        <w:ind w:left="5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the participants’ account balances and the amounts reported in the statement of net assets available for benefits.</w:t>
      </w:r>
    </w:p>
    <w:p>
      <w:pPr>
        <w:spacing w:after="0" w:line="176" w:lineRule="exact"/>
        <w:rPr>
          <w:rFonts w:ascii="Arial" w:cs="Arial" w:eastAsia="Arial" w:hAnsi="Arial"/>
          <w:sz w:val="18"/>
          <w:szCs w:val="18"/>
          <w:b w:val="1"/>
          <w:bCs w:val="1"/>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 Exemption</w:t>
      </w:r>
    </w:p>
    <w:p>
      <w:pPr>
        <w:spacing w:after="0" w:line="225" w:lineRule="exact"/>
        <w:rPr>
          <w:rFonts w:ascii="Arial" w:cs="Arial" w:eastAsia="Arial" w:hAnsi="Arial"/>
          <w:sz w:val="18"/>
          <w:szCs w:val="18"/>
          <w:b w:val="1"/>
          <w:bCs w:val="1"/>
          <w:color w:val="auto"/>
        </w:rPr>
      </w:pPr>
    </w:p>
    <w:p>
      <w:pPr>
        <w:ind w:left="52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Plan has received a determination letter from the Internal Revenue Service (IRS) dated December 20, 2016, stating that the Plan is qualified under Section 401(a) of the Internal Revenue Code (the Code) and, therefore, the related trust is exempt from taxation. Subsequent to this determination by the IRS, the Plan was amended and restated. Once qualified, the Plan is required to operate in conformity with the Code to maintain its qualified status. The Plan Administrator believes the Plan is being operated in compliance with the applicable requirements of the Code, and, therefore, believes the Plan is qualified and the related trust is tax-exempt.</w:t>
      </w:r>
    </w:p>
    <w:p>
      <w:pPr>
        <w:spacing w:after="0" w:line="179" w:lineRule="exact"/>
        <w:rPr>
          <w:rFonts w:ascii="Arial" w:cs="Arial" w:eastAsia="Arial" w:hAnsi="Arial"/>
          <w:sz w:val="18"/>
          <w:szCs w:val="18"/>
          <w:b w:val="1"/>
          <w:bCs w:val="1"/>
          <w:color w:val="auto"/>
        </w:rPr>
      </w:pPr>
    </w:p>
    <w:p>
      <w:pPr>
        <w:ind w:left="52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has concluded that as of December 31, 2025, there are no uncertain positions taken or expected to be taken that would require recognition of a liability (or asset) or disclosure in the financial statements. The Plan is subject to routine audits by taxing jurisdictions; however, there are currently no audits for the Plan for any tax periods in progress.</w:t>
      </w:r>
    </w:p>
    <w:p>
      <w:pPr>
        <w:spacing w:after="0" w:line="182" w:lineRule="exact"/>
        <w:rPr>
          <w:rFonts w:ascii="Arial" w:cs="Arial" w:eastAsia="Arial" w:hAnsi="Arial"/>
          <w:sz w:val="18"/>
          <w:szCs w:val="18"/>
          <w:b w:val="1"/>
          <w:bCs w:val="1"/>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the Financials to Schedule H of Form 5500</w:t>
      </w:r>
    </w:p>
    <w:p>
      <w:pPr>
        <w:spacing w:after="0" w:line="21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Plan’s net assets available for benefits per the financial statements at December 31, 2025 and</w:t>
      </w:r>
    </w:p>
    <w:p>
      <w:pPr>
        <w:spacing w:after="0" w:line="2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2024 to Schedule H of Form 5500: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line="18" w:lineRule="exact"/>
        <w:rPr>
          <w:sz w:val="20"/>
          <w:szCs w:val="20"/>
          <w:color w:val="auto"/>
        </w:rPr>
      </w:pPr>
    </w:p>
    <w:tbl>
      <w:tblPr>
        <w:tblLayout w:type="fixed"/>
        <w:tblInd w:w="752" w:type="dxa"/>
        <w:tblCellMar>
          <w:top w:w="0" w:type="dxa"/>
          <w:left w:w="0" w:type="dxa"/>
          <w:bottom w:w="0" w:type="dxa"/>
          <w:right w:w="0" w:type="dxa"/>
        </w:tblCellMar>
      </w:tblPr>
      <w:tr>
        <w:trPr>
          <w:trHeight w:val="247"/>
        </w:trPr>
        <w:tc>
          <w:tcPr>
            <w:tcW w:w="5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b w:val="1"/>
                <w:bCs w:val="1"/>
                <w:color w:val="auto"/>
              </w:rPr>
              <w:t>2024</w:t>
            </w:r>
          </w:p>
        </w:tc>
      </w:tr>
      <w:tr>
        <w:trPr>
          <w:trHeight w:val="482"/>
        </w:trPr>
        <w:tc>
          <w:tcPr>
            <w:tcW w:w="5640" w:type="dxa"/>
            <w:vAlign w:val="bottom"/>
          </w:tcPr>
          <w:p>
            <w:pPr>
              <w:spacing w:after="0"/>
              <w:rPr>
                <w:sz w:val="20"/>
                <w:szCs w:val="20"/>
                <w:color w:val="auto"/>
              </w:rPr>
            </w:pPr>
            <w:r>
              <w:rPr>
                <w:rFonts w:ascii="Arial" w:cs="Arial" w:eastAsia="Arial" w:hAnsi="Arial"/>
                <w:sz w:val="18"/>
                <w:szCs w:val="18"/>
                <w:color w:val="auto"/>
              </w:rPr>
              <w:t>Net assets per financial statements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12,440,224,027</w:t>
            </w:r>
          </w:p>
        </w:tc>
        <w:tc>
          <w:tcPr>
            <w:tcW w:w="540" w:type="dxa"/>
            <w:vAlign w:val="bottom"/>
          </w:tcPr>
          <w:p>
            <w:pPr>
              <w:spacing w:after="0"/>
              <w:rPr>
                <w:sz w:val="24"/>
                <w:szCs w:val="24"/>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11,510,139,934</w:t>
            </w:r>
          </w:p>
        </w:tc>
      </w:tr>
      <w:tr>
        <w:trPr>
          <w:trHeight w:val="235"/>
        </w:trPr>
        <w:tc>
          <w:tcPr>
            <w:tcW w:w="5640" w:type="dxa"/>
            <w:vAlign w:val="bottom"/>
          </w:tcPr>
          <w:p>
            <w:pPr>
              <w:spacing w:after="0"/>
              <w:rPr>
                <w:sz w:val="20"/>
                <w:szCs w:val="20"/>
                <w:color w:val="auto"/>
              </w:rPr>
            </w:pPr>
            <w:r>
              <w:rPr>
                <w:rFonts w:ascii="Arial" w:cs="Arial" w:eastAsia="Arial" w:hAnsi="Arial"/>
                <w:sz w:val="18"/>
                <w:szCs w:val="18"/>
                <w:color w:val="auto"/>
              </w:rPr>
              <w:t>Deemed distributions of participant loans</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(3,868,913)</w:t>
            </w:r>
          </w:p>
        </w:tc>
        <w:tc>
          <w:tcPr>
            <w:tcW w:w="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(3,298,362)</w:t>
            </w:r>
          </w:p>
        </w:tc>
      </w:tr>
      <w:tr>
        <w:trPr>
          <w:trHeight w:val="230"/>
        </w:trPr>
        <w:tc>
          <w:tcPr>
            <w:tcW w:w="5640" w:type="dxa"/>
            <w:vAlign w:val="bottom"/>
          </w:tcPr>
          <w:p>
            <w:pPr>
              <w:ind w:left="440"/>
              <w:spacing w:after="0"/>
              <w:rPr>
                <w:sz w:val="20"/>
                <w:szCs w:val="20"/>
                <w:color w:val="auto"/>
              </w:rPr>
            </w:pPr>
            <w:r>
              <w:rPr>
                <w:rFonts w:ascii="Arial" w:cs="Arial" w:eastAsia="Arial" w:hAnsi="Arial"/>
                <w:sz w:val="18"/>
                <w:szCs w:val="18"/>
                <w:color w:val="auto"/>
              </w:rPr>
              <w:t>Net assets available for benefits per Schedule 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12,436,355,114</w:t>
            </w:r>
          </w:p>
        </w:tc>
        <w:tc>
          <w:tcPr>
            <w:tcW w:w="540" w:type="dxa"/>
            <w:vAlign w:val="bottom"/>
          </w:tcPr>
          <w:p>
            <w:pPr>
              <w:spacing w:after="0"/>
              <w:rPr>
                <w:sz w:val="20"/>
                <w:szCs w:val="20"/>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11,506,841,572</w:t>
            </w:r>
          </w:p>
        </w:tc>
      </w:tr>
    </w:tbl>
    <w:p>
      <w:pPr>
        <w:spacing w:after="0" w:line="292" w:lineRule="exact"/>
        <w:rPr>
          <w:sz w:val="20"/>
          <w:szCs w:val="20"/>
          <w:color w:val="auto"/>
        </w:rPr>
      </w:pPr>
    </w:p>
    <w:p>
      <w:pPr>
        <w:ind w:left="512"/>
        <w:spacing w:after="0"/>
        <w:rPr>
          <w:sz w:val="20"/>
          <w:szCs w:val="20"/>
          <w:color w:val="auto"/>
        </w:rPr>
      </w:pPr>
      <w:r>
        <w:rPr>
          <w:rFonts w:ascii="Arial" w:cs="Arial" w:eastAsia="Arial" w:hAnsi="Arial"/>
          <w:sz w:val="18"/>
          <w:szCs w:val="18"/>
          <w:color w:val="auto"/>
        </w:rPr>
        <w:t>The following is a reconciliation of total expenses paid per the financial statements for the year ending December 31, 2025 to</w:t>
      </w:r>
    </w:p>
    <w:p>
      <w:pPr>
        <w:spacing w:after="0" w:line="27" w:lineRule="exact"/>
        <w:rPr>
          <w:sz w:val="20"/>
          <w:szCs w:val="20"/>
          <w:color w:val="auto"/>
        </w:rPr>
      </w:pPr>
    </w:p>
    <w:p>
      <w:pPr>
        <w:ind w:left="512"/>
        <w:spacing w:after="0"/>
        <w:rPr>
          <w:sz w:val="20"/>
          <w:szCs w:val="20"/>
          <w:color w:val="auto"/>
        </w:rPr>
      </w:pPr>
      <w:r>
        <w:rPr>
          <w:rFonts w:ascii="Arial" w:cs="Arial" w:eastAsia="Arial" w:hAnsi="Arial"/>
          <w:sz w:val="18"/>
          <w:szCs w:val="18"/>
          <w:color w:val="auto"/>
        </w:rPr>
        <w:t>Schedule H of Form 5500:</w:t>
      </w:r>
    </w:p>
    <w:p>
      <w:pPr>
        <w:spacing w:after="0" w:line="248" w:lineRule="exact"/>
        <w:rPr>
          <w:sz w:val="20"/>
          <w:szCs w:val="20"/>
          <w:color w:val="auto"/>
        </w:rPr>
      </w:pPr>
    </w:p>
    <w:tbl>
      <w:tblPr>
        <w:tblLayout w:type="fixed"/>
        <w:tblInd w:w="752" w:type="dxa"/>
        <w:tblCellMar>
          <w:top w:w="0" w:type="dxa"/>
          <w:left w:w="0" w:type="dxa"/>
          <w:bottom w:w="0" w:type="dxa"/>
          <w:right w:w="0" w:type="dxa"/>
        </w:tblCellMar>
      </w:tblPr>
      <w:tr>
        <w:trPr>
          <w:trHeight w:val="229"/>
        </w:trPr>
        <w:tc>
          <w:tcPr>
            <w:tcW w:w="7980" w:type="dxa"/>
            <w:vAlign w:val="bottom"/>
          </w:tcPr>
          <w:p>
            <w:pPr>
              <w:spacing w:after="0"/>
              <w:rPr>
                <w:sz w:val="20"/>
                <w:szCs w:val="20"/>
                <w:color w:val="auto"/>
              </w:rPr>
            </w:pPr>
            <w:r>
              <w:rPr>
                <w:rFonts w:ascii="Arial" w:cs="Arial" w:eastAsia="Arial" w:hAnsi="Arial"/>
                <w:sz w:val="18"/>
                <w:szCs w:val="18"/>
                <w:color w:val="auto"/>
              </w:rPr>
              <w:t>Total deductions per the financial statements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1,313,991,618</w:t>
            </w:r>
          </w:p>
        </w:tc>
      </w:tr>
      <w:tr>
        <w:trPr>
          <w:trHeight w:val="229"/>
        </w:trPr>
        <w:tc>
          <w:tcPr>
            <w:tcW w:w="7980" w:type="dxa"/>
            <w:vAlign w:val="bottom"/>
          </w:tcPr>
          <w:p>
            <w:pPr>
              <w:spacing w:after="0"/>
              <w:rPr>
                <w:sz w:val="20"/>
                <w:szCs w:val="20"/>
                <w:color w:val="auto"/>
              </w:rPr>
            </w:pPr>
            <w:r>
              <w:rPr>
                <w:rFonts w:ascii="Arial" w:cs="Arial" w:eastAsia="Arial" w:hAnsi="Arial"/>
                <w:sz w:val="18"/>
                <w:szCs w:val="18"/>
                <w:color w:val="auto"/>
              </w:rPr>
              <w:t>Deemed distributions of participant loans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710,835</w:t>
            </w:r>
          </w:p>
        </w:tc>
      </w:tr>
      <w:tr>
        <w:trPr>
          <w:trHeight w:val="235"/>
        </w:trPr>
        <w:tc>
          <w:tcPr>
            <w:tcW w:w="7980" w:type="dxa"/>
            <w:vAlign w:val="bottom"/>
          </w:tcPr>
          <w:p>
            <w:pPr>
              <w:spacing w:after="0"/>
              <w:rPr>
                <w:sz w:val="20"/>
                <w:szCs w:val="20"/>
                <w:color w:val="auto"/>
              </w:rPr>
            </w:pPr>
            <w:r>
              <w:rPr>
                <w:rFonts w:ascii="Arial" w:cs="Arial" w:eastAsia="Arial" w:hAnsi="Arial"/>
                <w:sz w:val="18"/>
                <w:szCs w:val="18"/>
                <w:color w:val="auto"/>
              </w:rPr>
              <w:t>Deemed distributions of participant loans – offset during plan year</w:t>
            </w:r>
          </w:p>
        </w:tc>
        <w:tc>
          <w:tcPr>
            <w:tcW w:w="3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(140,284)</w:t>
            </w:r>
          </w:p>
        </w:tc>
      </w:tr>
      <w:tr>
        <w:trPr>
          <w:trHeight w:val="230"/>
        </w:trPr>
        <w:tc>
          <w:tcPr>
            <w:tcW w:w="7980" w:type="dxa"/>
            <w:vAlign w:val="bottom"/>
          </w:tcPr>
          <w:p>
            <w:pPr>
              <w:ind w:left="1400"/>
              <w:spacing w:after="0"/>
              <w:rPr>
                <w:sz w:val="20"/>
                <w:szCs w:val="20"/>
                <w:color w:val="auto"/>
              </w:rPr>
            </w:pPr>
            <w:r>
              <w:rPr>
                <w:rFonts w:ascii="Arial" w:cs="Arial" w:eastAsia="Arial" w:hAnsi="Arial"/>
                <w:sz w:val="18"/>
                <w:szCs w:val="18"/>
                <w:color w:val="auto"/>
              </w:rPr>
              <w:t>Total expenses paid per Schedule H of Form 5500</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1,314,562,169</w:t>
            </w:r>
          </w:p>
        </w:tc>
      </w:tr>
    </w:tbl>
    <w:p>
      <w:pPr>
        <w:spacing w:after="0" w:line="278" w:lineRule="exact"/>
        <w:rPr>
          <w:sz w:val="20"/>
          <w:szCs w:val="20"/>
          <w:color w:val="auto"/>
        </w:rPr>
      </w:pPr>
    </w:p>
    <w:p>
      <w:pPr>
        <w:ind w:left="512" w:right="420"/>
        <w:spacing w:after="0" w:line="287" w:lineRule="auto"/>
        <w:rPr>
          <w:sz w:val="20"/>
          <w:szCs w:val="20"/>
          <w:color w:val="auto"/>
        </w:rPr>
      </w:pPr>
      <w:r>
        <w:rPr>
          <w:rFonts w:ascii="Arial" w:cs="Arial" w:eastAsia="Arial" w:hAnsi="Arial"/>
          <w:sz w:val="18"/>
          <w:szCs w:val="18"/>
          <w:color w:val="auto"/>
        </w:rPr>
        <w:t>Amounts allocated to deemed distributions of participant loans are recorded as notes receivables from participants in the financial statements and recorded as an expense on Schedule H on Form 5500.</w:t>
      </w:r>
    </w:p>
    <w:p>
      <w:pPr>
        <w:spacing w:after="0" w:line="153" w:lineRule="exact"/>
        <w:rPr>
          <w:sz w:val="20"/>
          <w:szCs w:val="20"/>
          <w:color w:val="auto"/>
        </w:rPr>
      </w:pPr>
    </w:p>
    <w:p>
      <w:pPr>
        <w:ind w:left="512" w:hanging="512"/>
        <w:spacing w:after="0"/>
        <w:tabs>
          <w:tab w:leader="none" w:pos="51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5" w:lineRule="exact"/>
        <w:rPr>
          <w:rFonts w:ascii="Arial" w:cs="Arial" w:eastAsia="Arial" w:hAnsi="Arial"/>
          <w:sz w:val="18"/>
          <w:szCs w:val="18"/>
          <w:b w:val="1"/>
          <w:bCs w:val="1"/>
          <w:color w:val="auto"/>
        </w:rPr>
      </w:pPr>
    </w:p>
    <w:p>
      <w:pPr>
        <w:jc w:val="both"/>
        <w:ind w:left="51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ASC 820 establishes a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ASC 820 are described as follows:</w:t>
      </w:r>
    </w:p>
    <w:p>
      <w:pPr>
        <w:spacing w:after="0" w:line="176" w:lineRule="exact"/>
        <w:rPr>
          <w:sz w:val="20"/>
          <w:szCs w:val="20"/>
          <w:color w:val="auto"/>
        </w:rPr>
      </w:pPr>
    </w:p>
    <w:p>
      <w:pPr>
        <w:ind w:left="1272" w:right="220" w:hanging="890"/>
        <w:spacing w:after="0" w:line="287" w:lineRule="auto"/>
        <w:tabs>
          <w:tab w:leader="none" w:pos="1252" w:val="left"/>
        </w:tabs>
        <w:rPr>
          <w:sz w:val="20"/>
          <w:szCs w:val="20"/>
          <w:color w:val="auto"/>
        </w:rPr>
      </w:pPr>
      <w:r>
        <w:rPr>
          <w:rFonts w:ascii="Arial" w:cs="Arial" w:eastAsia="Arial" w:hAnsi="Arial"/>
          <w:sz w:val="18"/>
          <w:szCs w:val="18"/>
          <w:color w:val="auto"/>
        </w:rPr>
        <w:t>Level 1</w:t>
        <w:tab/>
        <w:t>Inputs to the valuation methodology are unadjusted quoted prices for identical assets or liabilities in active markets that the Plan has the ability to access.</w:t>
      </w:r>
    </w:p>
    <w:p>
      <w:pPr>
        <w:spacing w:after="0" w:line="153" w:lineRule="exact"/>
        <w:rPr>
          <w:sz w:val="20"/>
          <w:szCs w:val="20"/>
          <w:color w:val="auto"/>
        </w:rPr>
      </w:pPr>
    </w:p>
    <w:p>
      <w:pPr>
        <w:ind w:left="492"/>
        <w:spacing w:after="0"/>
        <w:tabs>
          <w:tab w:leader="none" w:pos="1252"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7"/>
          <w:szCs w:val="17"/>
          <w:color w:val="auto"/>
        </w:rPr>
        <w:t>Inputs to the valuation methodology include:</w:t>
      </w:r>
    </w:p>
    <w:p>
      <w:pPr>
        <w:spacing w:after="0" w:line="225" w:lineRule="exact"/>
        <w:rPr>
          <w:sz w:val="20"/>
          <w:szCs w:val="20"/>
          <w:color w:val="auto"/>
        </w:rPr>
      </w:pPr>
    </w:p>
    <w:p>
      <w:pPr>
        <w:ind w:left="1532" w:hanging="220"/>
        <w:spacing w:after="0"/>
        <w:tabs>
          <w:tab w:leader="none" w:pos="1532"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quoted prices for similar assets or liabilities in active markets;</w:t>
      </w:r>
    </w:p>
    <w:p>
      <w:pPr>
        <w:spacing w:after="0" w:line="224" w:lineRule="exact"/>
        <w:rPr>
          <w:rFonts w:ascii="Times New Roman" w:cs="Times New Roman" w:eastAsia="Times New Roman" w:hAnsi="Times New Roman"/>
          <w:sz w:val="18"/>
          <w:szCs w:val="18"/>
          <w:color w:val="auto"/>
        </w:rPr>
      </w:pPr>
    </w:p>
    <w:p>
      <w:pPr>
        <w:ind w:left="1532" w:hanging="220"/>
        <w:spacing w:after="0"/>
        <w:tabs>
          <w:tab w:leader="none" w:pos="1532"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224" w:lineRule="exact"/>
        <w:rPr>
          <w:rFonts w:ascii="Times New Roman" w:cs="Times New Roman" w:eastAsia="Times New Roman" w:hAnsi="Times New Roman"/>
          <w:sz w:val="18"/>
          <w:szCs w:val="18"/>
          <w:color w:val="auto"/>
        </w:rPr>
      </w:pPr>
    </w:p>
    <w:p>
      <w:pPr>
        <w:ind w:left="1532" w:hanging="220"/>
        <w:spacing w:after="0"/>
        <w:tabs>
          <w:tab w:leader="none" w:pos="1532"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inputs other than quoted prices that are observable for the assets or liability;</w:t>
      </w:r>
    </w:p>
    <w:p>
      <w:pPr>
        <w:spacing w:after="0" w:line="224" w:lineRule="exact"/>
        <w:rPr>
          <w:rFonts w:ascii="Times New Roman" w:cs="Times New Roman" w:eastAsia="Times New Roman" w:hAnsi="Times New Roman"/>
          <w:sz w:val="18"/>
          <w:szCs w:val="18"/>
          <w:color w:val="auto"/>
        </w:rPr>
      </w:pPr>
    </w:p>
    <w:p>
      <w:pPr>
        <w:ind w:left="1532" w:hanging="220"/>
        <w:spacing w:after="0"/>
        <w:tabs>
          <w:tab w:leader="none" w:pos="1532"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224" w:lineRule="exact"/>
        <w:rPr>
          <w:sz w:val="20"/>
          <w:szCs w:val="20"/>
          <w:color w:val="auto"/>
        </w:rPr>
      </w:pPr>
    </w:p>
    <w:p>
      <w:pPr>
        <w:ind w:left="1372" w:right="20"/>
        <w:spacing w:after="0" w:line="287" w:lineRule="auto"/>
        <w:rPr>
          <w:sz w:val="20"/>
          <w:szCs w:val="20"/>
          <w:color w:val="auto"/>
        </w:rPr>
      </w:pPr>
      <w:r>
        <w:rPr>
          <w:rFonts w:ascii="Arial" w:cs="Arial" w:eastAsia="Arial" w:hAnsi="Arial"/>
          <w:sz w:val="18"/>
          <w:szCs w:val="18"/>
          <w:color w:val="auto"/>
        </w:rPr>
        <w:t>If the asset or liability has a specified (contractual) term, the Level 2 input must be observable for substantially the full term of the asset or liability.</w:t>
      </w:r>
    </w:p>
    <w:p>
      <w:pPr>
        <w:spacing w:after="0" w:line="153" w:lineRule="exact"/>
        <w:rPr>
          <w:sz w:val="20"/>
          <w:szCs w:val="20"/>
          <w:color w:val="auto"/>
        </w:rPr>
      </w:pPr>
    </w:p>
    <w:p>
      <w:pPr>
        <w:ind w:left="492"/>
        <w:spacing w:after="0"/>
        <w:tabs>
          <w:tab w:leader="none" w:pos="1252"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Inputs to the valuation methodology are unobservable and significant to the fair value measurement.</w:t>
      </w:r>
    </w:p>
    <w:p>
      <w:pPr>
        <w:spacing w:after="0" w:line="225" w:lineRule="exact"/>
        <w:rPr>
          <w:sz w:val="20"/>
          <w:szCs w:val="20"/>
          <w:color w:val="auto"/>
        </w:rPr>
      </w:pPr>
    </w:p>
    <w:p>
      <w:pPr>
        <w:jc w:val="both"/>
        <w:ind w:left="512"/>
        <w:spacing w:after="0" w:line="268" w:lineRule="auto"/>
        <w:rPr>
          <w:sz w:val="20"/>
          <w:szCs w:val="20"/>
          <w:color w:val="auto"/>
        </w:rPr>
      </w:pPr>
      <w:r>
        <w:rPr>
          <w:rFonts w:ascii="Arial" w:cs="Arial" w:eastAsia="Arial" w:hAnsi="Arial"/>
          <w:sz w:val="18"/>
          <w:szCs w:val="18"/>
          <w:color w:val="auto"/>
        </w:rPr>
        <w:t>The asset or liability’s fair value measurement level within the fair value hierarchy is based on the lowest level of any input that is significant to the fair value measurement. Valuation techniques maximize the use of relevant observable inputs and minimize the use of unobservable inputs.</w:t>
      </w:r>
    </w:p>
    <w:p>
      <w:pPr>
        <w:spacing w:after="0" w:line="171" w:lineRule="exact"/>
        <w:rPr>
          <w:sz w:val="20"/>
          <w:szCs w:val="20"/>
          <w:color w:val="auto"/>
        </w:rPr>
      </w:pPr>
    </w:p>
    <w:p>
      <w:pPr>
        <w:jc w:val="both"/>
        <w:ind w:left="512"/>
        <w:spacing w:after="0" w:line="287"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methodologies used at December 31, 2025 and 2024.</w:t>
      </w:r>
    </w:p>
    <w:p>
      <w:pPr>
        <w:sectPr>
          <w:pgSz w:w="11900" w:h="16838" w:orient="portrait"/>
          <w:cols w:equalWidth="0" w:num="1">
            <w:col w:w="11232"/>
          </w:cols>
          <w:pgMar w:left="328"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Common Stocks and Rights/Warrants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Valued at the closing price reported on the active market on which the individual securities are traded.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Bonds/Other Fixed Income Funds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Valued using pricing models maximizing the use of observable inputs for similar securities. This includes basing value on yields currently available on comparable securities of issuers with similar credit ratings.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Investment Company Funds (Mutual Funds)</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Valued at the daily closing price as reported by the fund. Mutual funds held by the Plan are open-end mutual funds that are registered with the Securities and Exchange Commission. These funds are required to publish their daily net asset value (“NAV”) and to transact at that price. The mutual funds held by the Plan are deemed to be actively traded.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Common/Collective Funds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Valued at the NAV of units of a bank collective trust. The NAV is used as a practical expedient to estimate fair value. The NAV is based on the fair value of the underlying investments held by the fund less its liabilities. This practical expedient is not used when it is determined to be probable that the fund will sell the investment for an amount different than the reported NAV. Participant transactions (purchases and sales) may occur daily. Were the Plan to initiate a full redemption of the collective trust, the investment adviser reserves the right to temporarily delay withdrawal from the trust in order to ensure that securities liquidations will be carried out in an orderly business manner.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Valued using the pricing models maximizing the use of observable inputs for similar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Short-Term investments, including commercial paper having 60 days or less to maturity are recorded at amortized cost, which approximates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by level, within the fair value hierarchy, the Plan’s assets at fair value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224155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17" w:right="339" w:bottom="1440" w:gutter="0" w:footer="0" w:header="0"/>
        </w:sectPr>
      </w:pPr>
    </w:p>
    <w:bookmarkStart w:id="12" w:name="page13"/>
    <w:bookmarkEnd w:id="12"/>
    <w:p>
      <w:pPr>
        <w:spacing w:after="0" w:line="18"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60" w:type="dxa"/>
            <w:vAlign w:val="bottom"/>
            <w:gridSpan w:val="10"/>
          </w:tcPr>
          <w:p>
            <w:pPr>
              <w:jc w:val="center"/>
              <w:ind w:right="500"/>
              <w:spacing w:after="0"/>
              <w:rPr>
                <w:sz w:val="20"/>
                <w:szCs w:val="20"/>
                <w:color w:val="auto"/>
              </w:rPr>
            </w:pPr>
            <w:r>
              <w:rPr>
                <w:rFonts w:ascii="Arial" w:cs="Arial" w:eastAsia="Arial" w:hAnsi="Arial"/>
                <w:sz w:val="18"/>
                <w:szCs w:val="18"/>
                <w:b w:val="1"/>
                <w:bCs w:val="1"/>
                <w:color w:val="auto"/>
                <w:w w:val="99"/>
              </w:rPr>
              <w:t>Assets at Fair Value as of December 31, 2025</w:t>
            </w:r>
          </w:p>
        </w:tc>
      </w:tr>
      <w:tr>
        <w:trPr>
          <w:trHeight w:val="194"/>
        </w:trPr>
        <w:tc>
          <w:tcPr>
            <w:tcW w:w="3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gridSpan w:val="3"/>
          </w:tcPr>
          <w:p>
            <w:pPr>
              <w:ind w:left="60"/>
              <w:spacing w:after="0" w:line="195" w:lineRule="exact"/>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16"/>
                <w:szCs w:val="16"/>
                <w:color w:val="auto"/>
              </w:rPr>
            </w:pPr>
          </w:p>
        </w:tc>
        <w:tc>
          <w:tcPr>
            <w:tcW w:w="1680" w:type="dxa"/>
            <w:vAlign w:val="bottom"/>
            <w:gridSpan w:val="3"/>
          </w:tcPr>
          <w:p>
            <w:pPr>
              <w:jc w:val="center"/>
              <w:ind w:right="1060"/>
              <w:spacing w:after="0" w:line="195" w:lineRule="exact"/>
              <w:rPr>
                <w:sz w:val="20"/>
                <w:szCs w:val="20"/>
                <w:color w:val="auto"/>
              </w:rPr>
            </w:pPr>
            <w:r>
              <w:rPr>
                <w:rFonts w:ascii="Arial" w:cs="Arial" w:eastAsia="Arial" w:hAnsi="Arial"/>
                <w:sz w:val="18"/>
                <w:szCs w:val="18"/>
                <w:b w:val="1"/>
                <w:bCs w:val="1"/>
                <w:color w:val="auto"/>
              </w:rPr>
              <w:t>Level 2</w:t>
            </w:r>
          </w:p>
        </w:tc>
        <w:tc>
          <w:tcPr>
            <w:tcW w:w="660" w:type="dxa"/>
            <w:vAlign w:val="bottom"/>
          </w:tcPr>
          <w:p>
            <w:pPr>
              <w:spacing w:after="0"/>
              <w:rPr>
                <w:sz w:val="16"/>
                <w:szCs w:val="16"/>
                <w:color w:val="auto"/>
              </w:rPr>
            </w:pPr>
          </w:p>
        </w:tc>
        <w:tc>
          <w:tcPr>
            <w:tcW w:w="1060" w:type="dxa"/>
            <w:vAlign w:val="bottom"/>
            <w:gridSpan w:val="2"/>
          </w:tcPr>
          <w:p>
            <w:pPr>
              <w:jc w:val="right"/>
              <w:ind w:right="640"/>
              <w:spacing w:after="0" w:line="195" w:lineRule="exact"/>
              <w:rPr>
                <w:sz w:val="20"/>
                <w:szCs w:val="20"/>
                <w:color w:val="auto"/>
              </w:rPr>
            </w:pPr>
            <w:r>
              <w:rPr>
                <w:rFonts w:ascii="Arial" w:cs="Arial" w:eastAsia="Arial" w:hAnsi="Arial"/>
                <w:sz w:val="18"/>
                <w:szCs w:val="18"/>
                <w:b w:val="1"/>
                <w:bCs w:val="1"/>
                <w:color w:val="auto"/>
                <w:w w:val="92"/>
              </w:rPr>
              <w:t>Total</w:t>
            </w:r>
          </w:p>
        </w:tc>
      </w:tr>
      <w:tr>
        <w:trPr>
          <w:trHeight w:val="20"/>
        </w:trPr>
        <w:tc>
          <w:tcPr>
            <w:tcW w:w="3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515"/>
        </w:trPr>
        <w:tc>
          <w:tcPr>
            <w:tcW w:w="3640" w:type="dxa"/>
            <w:vAlign w:val="bottom"/>
          </w:tcPr>
          <w:p>
            <w:pPr>
              <w:spacing w:after="0"/>
              <w:rPr>
                <w:sz w:val="20"/>
                <w:szCs w:val="20"/>
                <w:color w:val="auto"/>
              </w:rPr>
            </w:pPr>
            <w:r>
              <w:rPr>
                <w:rFonts w:ascii="Arial" w:cs="Arial" w:eastAsia="Arial" w:hAnsi="Arial"/>
                <w:sz w:val="18"/>
                <w:szCs w:val="18"/>
                <w:color w:val="auto"/>
              </w:rPr>
              <w:t>Common stock</w:t>
            </w:r>
          </w:p>
        </w:tc>
        <w:tc>
          <w:tcPr>
            <w:tcW w:w="5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271,095,936</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271,095,936</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Registered Investment Co Funds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2,561,045</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2,561,045</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557,626,935</w:t>
            </w:r>
          </w:p>
        </w:tc>
        <w:tc>
          <w:tcPr>
            <w:tcW w:w="540" w:type="dxa"/>
            <w:vAlign w:val="bottom"/>
          </w:tcPr>
          <w:p>
            <w:pPr>
              <w:spacing w:after="0"/>
              <w:rPr>
                <w:sz w:val="19"/>
                <w:szCs w:val="19"/>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557,626,935</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Self-directed brokerage acct:</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64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630,347,100</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630,347,100</w:t>
            </w:r>
          </w:p>
        </w:tc>
      </w:tr>
      <w:tr>
        <w:trPr>
          <w:trHeight w:val="229"/>
        </w:trPr>
        <w:tc>
          <w:tcPr>
            <w:tcW w:w="3640" w:type="dxa"/>
            <w:vAlign w:val="bottom"/>
          </w:tcPr>
          <w:p>
            <w:pPr>
              <w:ind w:left="320"/>
              <w:spacing w:after="0"/>
              <w:rPr>
                <w:sz w:val="20"/>
                <w:szCs w:val="20"/>
                <w:color w:val="auto"/>
              </w:rPr>
            </w:pPr>
            <w:r>
              <w:rPr>
                <w:rFonts w:ascii="Arial" w:cs="Arial" w:eastAsia="Arial" w:hAnsi="Arial"/>
                <w:sz w:val="18"/>
                <w:szCs w:val="18"/>
                <w:color w:val="auto"/>
              </w:rPr>
              <w:t>Registered investment co.</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2,122,583,774</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2,122,583,774</w:t>
            </w:r>
          </w:p>
        </w:tc>
      </w:tr>
      <w:tr>
        <w:trPr>
          <w:trHeight w:val="230"/>
        </w:trPr>
        <w:tc>
          <w:tcPr>
            <w:tcW w:w="364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273,026,195</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273,026,195</w:t>
            </w:r>
          </w:p>
        </w:tc>
      </w:tr>
      <w:tr>
        <w:trPr>
          <w:trHeight w:val="229"/>
        </w:trPr>
        <w:tc>
          <w:tcPr>
            <w:tcW w:w="3640" w:type="dxa"/>
            <w:vAlign w:val="bottom"/>
          </w:tcPr>
          <w:p>
            <w:pPr>
              <w:ind w:left="320"/>
              <w:spacing w:after="0"/>
              <w:rPr>
                <w:sz w:val="20"/>
                <w:szCs w:val="20"/>
                <w:color w:val="auto"/>
              </w:rPr>
            </w:pPr>
            <w:r>
              <w:rPr>
                <w:rFonts w:ascii="Arial" w:cs="Arial" w:eastAsia="Arial" w:hAnsi="Arial"/>
                <w:sz w:val="18"/>
                <w:szCs w:val="18"/>
                <w:color w:val="auto"/>
              </w:rPr>
              <w:t>Rights/warrants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98,064</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98,064</w:t>
            </w:r>
          </w:p>
        </w:tc>
      </w:tr>
      <w:tr>
        <w:trPr>
          <w:trHeight w:val="229"/>
        </w:trPr>
        <w:tc>
          <w:tcPr>
            <w:tcW w:w="3640" w:type="dxa"/>
            <w:vAlign w:val="bottom"/>
          </w:tcPr>
          <w:p>
            <w:pPr>
              <w:ind w:left="320"/>
              <w:spacing w:after="0"/>
              <w:rPr>
                <w:sz w:val="20"/>
                <w:szCs w:val="20"/>
                <w:color w:val="auto"/>
              </w:rPr>
            </w:pPr>
            <w:r>
              <w:rPr>
                <w:rFonts w:ascii="Arial" w:cs="Arial" w:eastAsia="Arial" w:hAnsi="Arial"/>
                <w:sz w:val="18"/>
                <w:szCs w:val="18"/>
                <w:color w:val="auto"/>
              </w:rPr>
              <w:t>Corporate bonds/other</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10,779,070</w:t>
            </w:r>
          </w:p>
        </w:tc>
        <w:tc>
          <w:tcPr>
            <w:tcW w:w="540" w:type="dxa"/>
            <w:vAlign w:val="bottom"/>
          </w:tcPr>
          <w:p>
            <w:pPr>
              <w:spacing w:after="0"/>
              <w:rPr>
                <w:sz w:val="19"/>
                <w:szCs w:val="19"/>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10,779,070</w:t>
            </w:r>
          </w:p>
        </w:tc>
      </w:tr>
      <w:tr>
        <w:trPr>
          <w:trHeight w:val="230"/>
        </w:trPr>
        <w:tc>
          <w:tcPr>
            <w:tcW w:w="3640" w:type="dxa"/>
            <w:vAlign w:val="bottom"/>
          </w:tcPr>
          <w:p>
            <w:pPr>
              <w:ind w:left="3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35,598,358</w:t>
            </w:r>
          </w:p>
        </w:tc>
        <w:tc>
          <w:tcPr>
            <w:tcW w:w="540" w:type="dxa"/>
            <w:vAlign w:val="bottom"/>
          </w:tcPr>
          <w:p>
            <w:pPr>
              <w:spacing w:after="0"/>
              <w:rPr>
                <w:sz w:val="19"/>
                <w:szCs w:val="19"/>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35,598,358</w:t>
            </w:r>
          </w:p>
        </w:tc>
      </w:tr>
      <w:tr>
        <w:trPr>
          <w:trHeight w:val="235"/>
        </w:trPr>
        <w:tc>
          <w:tcPr>
            <w:tcW w:w="3640" w:type="dxa"/>
            <w:vAlign w:val="bottom"/>
          </w:tcPr>
          <w:p>
            <w:pPr>
              <w:ind w:left="320"/>
              <w:spacing w:after="0"/>
              <w:rPr>
                <w:sz w:val="20"/>
                <w:szCs w:val="20"/>
                <w:color w:val="auto"/>
              </w:rPr>
            </w:pPr>
            <w:r>
              <w:rPr>
                <w:rFonts w:ascii="Arial" w:cs="Arial" w:eastAsia="Arial" w:hAnsi="Arial"/>
                <w:sz w:val="18"/>
                <w:szCs w:val="18"/>
                <w:color w:val="auto"/>
              </w:rPr>
              <w:t>US Government securities</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27,013,205</w:t>
            </w:r>
          </w:p>
        </w:tc>
        <w:tc>
          <w:tcPr>
            <w:tcW w:w="540" w:type="dxa"/>
            <w:vAlign w:val="bottom"/>
          </w:tcPr>
          <w:p>
            <w:pPr>
              <w:spacing w:after="0"/>
              <w:rPr>
                <w:sz w:val="20"/>
                <w:szCs w:val="20"/>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27,013,205</w:t>
            </w:r>
          </w:p>
        </w:tc>
      </w:tr>
      <w:tr>
        <w:trPr>
          <w:trHeight w:val="230"/>
        </w:trPr>
        <w:tc>
          <w:tcPr>
            <w:tcW w:w="3640" w:type="dxa"/>
            <w:vAlign w:val="bottom"/>
          </w:tcPr>
          <w:p>
            <w:pPr>
              <w:spacing w:after="0"/>
              <w:rPr>
                <w:sz w:val="20"/>
                <w:szCs w:val="20"/>
                <w:color w:val="auto"/>
              </w:rPr>
            </w:pPr>
          </w:p>
        </w:tc>
        <w:tc>
          <w:tcPr>
            <w:tcW w:w="1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3,299,712,114</w:t>
            </w:r>
          </w:p>
        </w:tc>
        <w:tc>
          <w:tcPr>
            <w:tcW w:w="540" w:type="dxa"/>
            <w:vAlign w:val="bottom"/>
          </w:tcPr>
          <w:p>
            <w:pPr>
              <w:spacing w:after="0"/>
              <w:rPr>
                <w:sz w:val="20"/>
                <w:szCs w:val="20"/>
                <w:color w:val="auto"/>
              </w:rPr>
            </w:pPr>
          </w:p>
        </w:tc>
        <w:tc>
          <w:tcPr>
            <w:tcW w:w="1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631,017,568</w:t>
            </w:r>
          </w:p>
        </w:tc>
        <w:tc>
          <w:tcPr>
            <w:tcW w:w="540" w:type="dxa"/>
            <w:vAlign w:val="bottom"/>
          </w:tcPr>
          <w:p>
            <w:pPr>
              <w:spacing w:after="0"/>
              <w:rPr>
                <w:sz w:val="20"/>
                <w:szCs w:val="20"/>
                <w:color w:val="auto"/>
              </w:rPr>
            </w:pPr>
          </w:p>
        </w:tc>
        <w:tc>
          <w:tcPr>
            <w:tcW w:w="17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3,930,729,682</w:t>
            </w:r>
          </w:p>
        </w:tc>
      </w:tr>
      <w:tr>
        <w:trPr>
          <w:trHeight w:val="481"/>
        </w:trPr>
        <w:tc>
          <w:tcPr>
            <w:tcW w:w="3640" w:type="dxa"/>
            <w:vAlign w:val="bottom"/>
          </w:tcPr>
          <w:p>
            <w:pPr>
              <w:spacing w:after="0"/>
              <w:rPr>
                <w:sz w:val="20"/>
                <w:szCs w:val="20"/>
                <w:color w:val="auto"/>
              </w:rPr>
            </w:pPr>
            <w:r>
              <w:rPr>
                <w:rFonts w:ascii="Arial" w:cs="Arial" w:eastAsia="Arial" w:hAnsi="Arial"/>
                <w:sz w:val="18"/>
                <w:szCs w:val="18"/>
                <w:color w:val="auto"/>
              </w:rPr>
              <w:t>Investments measured at net asset value:</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5"/>
        </w:trPr>
        <w:tc>
          <w:tcPr>
            <w:tcW w:w="3640" w:type="dxa"/>
            <w:vAlign w:val="bottom"/>
          </w:tcPr>
          <w:p>
            <w:pPr>
              <w:ind w:left="320"/>
              <w:spacing w:after="0"/>
              <w:rPr>
                <w:sz w:val="20"/>
                <w:szCs w:val="20"/>
                <w:color w:val="auto"/>
              </w:rPr>
            </w:pPr>
            <w:r>
              <w:rPr>
                <w:rFonts w:ascii="Arial" w:cs="Arial" w:eastAsia="Arial" w:hAnsi="Arial"/>
                <w:sz w:val="18"/>
                <w:szCs w:val="18"/>
                <w:color w:val="auto"/>
              </w:rPr>
              <w:t>Common/collective funds</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8,422,252,047</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12,352,981,729</w:t>
            </w:r>
          </w:p>
        </w:tc>
      </w:tr>
    </w:tbl>
    <w:p>
      <w:pPr>
        <w:spacing w:after="0" w:line="332"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3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60" w:type="dxa"/>
            <w:vAlign w:val="bottom"/>
            <w:gridSpan w:val="10"/>
          </w:tcPr>
          <w:p>
            <w:pPr>
              <w:jc w:val="center"/>
              <w:ind w:right="500"/>
              <w:spacing w:after="0"/>
              <w:rPr>
                <w:sz w:val="20"/>
                <w:szCs w:val="20"/>
                <w:color w:val="auto"/>
              </w:rPr>
            </w:pPr>
            <w:r>
              <w:rPr>
                <w:rFonts w:ascii="Arial" w:cs="Arial" w:eastAsia="Arial" w:hAnsi="Arial"/>
                <w:sz w:val="18"/>
                <w:szCs w:val="18"/>
                <w:b w:val="1"/>
                <w:bCs w:val="1"/>
                <w:color w:val="auto"/>
                <w:w w:val="99"/>
              </w:rPr>
              <w:t>Assets at Fair Value as of December 31, 2024</w:t>
            </w:r>
          </w:p>
        </w:tc>
      </w:tr>
      <w:tr>
        <w:trPr>
          <w:trHeight w:val="194"/>
        </w:trPr>
        <w:tc>
          <w:tcPr>
            <w:tcW w:w="3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gridSpan w:val="3"/>
          </w:tcPr>
          <w:p>
            <w:pPr>
              <w:ind w:left="60"/>
              <w:spacing w:after="0" w:line="195" w:lineRule="exact"/>
              <w:rPr>
                <w:sz w:val="20"/>
                <w:szCs w:val="20"/>
                <w:color w:val="auto"/>
              </w:rPr>
            </w:pPr>
            <w:r>
              <w:rPr>
                <w:rFonts w:ascii="Arial" w:cs="Arial" w:eastAsia="Arial" w:hAnsi="Arial"/>
                <w:sz w:val="18"/>
                <w:szCs w:val="18"/>
                <w:b w:val="1"/>
                <w:bCs w:val="1"/>
                <w:color w:val="auto"/>
              </w:rPr>
              <w:t>Level 1</w:t>
            </w:r>
          </w:p>
        </w:tc>
        <w:tc>
          <w:tcPr>
            <w:tcW w:w="540" w:type="dxa"/>
            <w:vAlign w:val="bottom"/>
          </w:tcPr>
          <w:p>
            <w:pPr>
              <w:spacing w:after="0"/>
              <w:rPr>
                <w:sz w:val="16"/>
                <w:szCs w:val="16"/>
                <w:color w:val="auto"/>
              </w:rPr>
            </w:pPr>
          </w:p>
        </w:tc>
        <w:tc>
          <w:tcPr>
            <w:tcW w:w="1680" w:type="dxa"/>
            <w:vAlign w:val="bottom"/>
            <w:gridSpan w:val="3"/>
          </w:tcPr>
          <w:p>
            <w:pPr>
              <w:jc w:val="center"/>
              <w:ind w:right="1060"/>
              <w:spacing w:after="0" w:line="195" w:lineRule="exact"/>
              <w:rPr>
                <w:sz w:val="20"/>
                <w:szCs w:val="20"/>
                <w:color w:val="auto"/>
              </w:rPr>
            </w:pPr>
            <w:r>
              <w:rPr>
                <w:rFonts w:ascii="Arial" w:cs="Arial" w:eastAsia="Arial" w:hAnsi="Arial"/>
                <w:sz w:val="18"/>
                <w:szCs w:val="18"/>
                <w:b w:val="1"/>
                <w:bCs w:val="1"/>
                <w:color w:val="auto"/>
              </w:rPr>
              <w:t>Level 2</w:t>
            </w:r>
          </w:p>
        </w:tc>
        <w:tc>
          <w:tcPr>
            <w:tcW w:w="660" w:type="dxa"/>
            <w:vAlign w:val="bottom"/>
          </w:tcPr>
          <w:p>
            <w:pPr>
              <w:spacing w:after="0"/>
              <w:rPr>
                <w:sz w:val="16"/>
                <w:szCs w:val="16"/>
                <w:color w:val="auto"/>
              </w:rPr>
            </w:pPr>
          </w:p>
        </w:tc>
        <w:tc>
          <w:tcPr>
            <w:tcW w:w="1060" w:type="dxa"/>
            <w:vAlign w:val="bottom"/>
            <w:gridSpan w:val="2"/>
          </w:tcPr>
          <w:p>
            <w:pPr>
              <w:jc w:val="right"/>
              <w:ind w:right="640"/>
              <w:spacing w:after="0" w:line="195" w:lineRule="exact"/>
              <w:rPr>
                <w:sz w:val="20"/>
                <w:szCs w:val="20"/>
                <w:color w:val="auto"/>
              </w:rPr>
            </w:pPr>
            <w:r>
              <w:rPr>
                <w:rFonts w:ascii="Arial" w:cs="Arial" w:eastAsia="Arial" w:hAnsi="Arial"/>
                <w:sz w:val="18"/>
                <w:szCs w:val="18"/>
                <w:b w:val="1"/>
                <w:bCs w:val="1"/>
                <w:color w:val="auto"/>
                <w:w w:val="92"/>
              </w:rPr>
              <w:t>Total</w:t>
            </w:r>
          </w:p>
        </w:tc>
      </w:tr>
      <w:tr>
        <w:trPr>
          <w:trHeight w:val="20"/>
        </w:trPr>
        <w:tc>
          <w:tcPr>
            <w:tcW w:w="3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74"/>
        </w:trPr>
        <w:tc>
          <w:tcPr>
            <w:tcW w:w="3640" w:type="dxa"/>
            <w:vAlign w:val="bottom"/>
          </w:tcPr>
          <w:p>
            <w:pPr>
              <w:spacing w:after="0"/>
              <w:rPr>
                <w:sz w:val="20"/>
                <w:szCs w:val="20"/>
                <w:color w:val="auto"/>
              </w:rPr>
            </w:pPr>
            <w:r>
              <w:rPr>
                <w:rFonts w:ascii="Arial" w:cs="Arial" w:eastAsia="Arial" w:hAnsi="Arial"/>
                <w:sz w:val="18"/>
                <w:szCs w:val="18"/>
                <w:color w:val="auto"/>
              </w:rPr>
              <w:t>Common stock</w:t>
            </w:r>
          </w:p>
        </w:tc>
        <w:tc>
          <w:tcPr>
            <w:tcW w:w="54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283,354,047</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283,354,047</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Registered Investment Co Funds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5,776,318</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5,776,318</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546,068,377</w:t>
            </w:r>
          </w:p>
        </w:tc>
        <w:tc>
          <w:tcPr>
            <w:tcW w:w="540" w:type="dxa"/>
            <w:vAlign w:val="bottom"/>
          </w:tcPr>
          <w:p>
            <w:pPr>
              <w:spacing w:after="0"/>
              <w:rPr>
                <w:sz w:val="19"/>
                <w:szCs w:val="19"/>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546,068,377</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Self-directed brokerage acct:</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640" w:type="dxa"/>
            <w:vAlign w:val="bottom"/>
          </w:tcPr>
          <w:p>
            <w:pPr>
              <w:ind w:left="320"/>
              <w:spacing w:after="0"/>
              <w:rPr>
                <w:sz w:val="20"/>
                <w:szCs w:val="20"/>
                <w:color w:val="auto"/>
              </w:rPr>
            </w:pPr>
            <w:r>
              <w:rPr>
                <w:rFonts w:ascii="Arial" w:cs="Arial" w:eastAsia="Arial" w:hAnsi="Arial"/>
                <w:sz w:val="18"/>
                <w:szCs w:val="18"/>
                <w:color w:val="auto"/>
              </w:rPr>
              <w:t>Common Stock</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530,491,268</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530,491,268</w:t>
            </w:r>
          </w:p>
        </w:tc>
      </w:tr>
      <w:tr>
        <w:trPr>
          <w:trHeight w:val="230"/>
        </w:trPr>
        <w:tc>
          <w:tcPr>
            <w:tcW w:w="3640" w:type="dxa"/>
            <w:vAlign w:val="bottom"/>
          </w:tcPr>
          <w:p>
            <w:pPr>
              <w:ind w:left="320"/>
              <w:spacing w:after="0"/>
              <w:rPr>
                <w:sz w:val="20"/>
                <w:szCs w:val="20"/>
                <w:color w:val="auto"/>
              </w:rPr>
            </w:pPr>
            <w:r>
              <w:rPr>
                <w:rFonts w:ascii="Arial" w:cs="Arial" w:eastAsia="Arial" w:hAnsi="Arial"/>
                <w:sz w:val="18"/>
                <w:szCs w:val="18"/>
                <w:color w:val="auto"/>
              </w:rPr>
              <w:t>Registered investment co.</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1,831,295,606</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1,831,295,606</w:t>
            </w:r>
          </w:p>
        </w:tc>
      </w:tr>
      <w:tr>
        <w:trPr>
          <w:trHeight w:val="230"/>
        </w:trPr>
        <w:tc>
          <w:tcPr>
            <w:tcW w:w="364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259,487,778</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259,487,778</w:t>
            </w:r>
          </w:p>
        </w:tc>
      </w:tr>
      <w:tr>
        <w:trPr>
          <w:trHeight w:val="229"/>
        </w:trPr>
        <w:tc>
          <w:tcPr>
            <w:tcW w:w="3640" w:type="dxa"/>
            <w:vAlign w:val="bottom"/>
          </w:tcPr>
          <w:p>
            <w:pPr>
              <w:ind w:left="320"/>
              <w:spacing w:after="0"/>
              <w:rPr>
                <w:sz w:val="20"/>
                <w:szCs w:val="20"/>
                <w:color w:val="auto"/>
              </w:rPr>
            </w:pPr>
            <w:r>
              <w:rPr>
                <w:rFonts w:ascii="Arial" w:cs="Arial" w:eastAsia="Arial" w:hAnsi="Arial"/>
                <w:sz w:val="18"/>
                <w:szCs w:val="18"/>
                <w:color w:val="auto"/>
              </w:rPr>
              <w:t>Rights/warrants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152,636</w:t>
            </w: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152,636</w:t>
            </w:r>
          </w:p>
        </w:tc>
      </w:tr>
      <w:tr>
        <w:trPr>
          <w:trHeight w:val="230"/>
        </w:trPr>
        <w:tc>
          <w:tcPr>
            <w:tcW w:w="3640" w:type="dxa"/>
            <w:vAlign w:val="bottom"/>
          </w:tcPr>
          <w:p>
            <w:pPr>
              <w:ind w:left="320"/>
              <w:spacing w:after="0"/>
              <w:rPr>
                <w:sz w:val="20"/>
                <w:szCs w:val="20"/>
                <w:color w:val="auto"/>
              </w:rPr>
            </w:pPr>
            <w:r>
              <w:rPr>
                <w:rFonts w:ascii="Arial" w:cs="Arial" w:eastAsia="Arial" w:hAnsi="Arial"/>
                <w:sz w:val="18"/>
                <w:szCs w:val="18"/>
                <w:color w:val="auto"/>
              </w:rPr>
              <w:t>Corporate bonds/other</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9,837,515</w:t>
            </w:r>
          </w:p>
        </w:tc>
        <w:tc>
          <w:tcPr>
            <w:tcW w:w="540" w:type="dxa"/>
            <w:vAlign w:val="bottom"/>
          </w:tcPr>
          <w:p>
            <w:pPr>
              <w:spacing w:after="0"/>
              <w:rPr>
                <w:sz w:val="19"/>
                <w:szCs w:val="19"/>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9,837,515</w:t>
            </w:r>
          </w:p>
        </w:tc>
      </w:tr>
      <w:tr>
        <w:trPr>
          <w:trHeight w:val="230"/>
        </w:trPr>
        <w:tc>
          <w:tcPr>
            <w:tcW w:w="3640" w:type="dxa"/>
            <w:vAlign w:val="bottom"/>
          </w:tcPr>
          <w:p>
            <w:pPr>
              <w:ind w:left="3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46,209,422</w:t>
            </w:r>
          </w:p>
        </w:tc>
        <w:tc>
          <w:tcPr>
            <w:tcW w:w="540" w:type="dxa"/>
            <w:vAlign w:val="bottom"/>
          </w:tcPr>
          <w:p>
            <w:pPr>
              <w:spacing w:after="0"/>
              <w:rPr>
                <w:sz w:val="19"/>
                <w:szCs w:val="19"/>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46,209,422</w:t>
            </w:r>
          </w:p>
        </w:tc>
      </w:tr>
      <w:tr>
        <w:trPr>
          <w:trHeight w:val="235"/>
        </w:trPr>
        <w:tc>
          <w:tcPr>
            <w:tcW w:w="3640" w:type="dxa"/>
            <w:vAlign w:val="bottom"/>
          </w:tcPr>
          <w:p>
            <w:pPr>
              <w:ind w:left="320"/>
              <w:spacing w:after="0"/>
              <w:rPr>
                <w:sz w:val="20"/>
                <w:szCs w:val="20"/>
                <w:color w:val="auto"/>
              </w:rPr>
            </w:pPr>
            <w:r>
              <w:rPr>
                <w:rFonts w:ascii="Arial" w:cs="Arial" w:eastAsia="Arial" w:hAnsi="Arial"/>
                <w:sz w:val="18"/>
                <w:szCs w:val="18"/>
                <w:color w:val="auto"/>
              </w:rPr>
              <w:t>US Government securities</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spacing w:after="0"/>
              <w:rPr>
                <w:sz w:val="20"/>
                <w:szCs w:val="20"/>
                <w:color w:val="auto"/>
              </w:rPr>
            </w:pPr>
            <w:r>
              <w:rPr>
                <w:rFonts w:ascii="Arial" w:cs="Arial" w:eastAsia="Arial" w:hAnsi="Arial"/>
                <w:sz w:val="18"/>
                <w:szCs w:val="18"/>
                <w:color w:val="auto"/>
              </w:rPr>
              <w:t>24,934,442</w:t>
            </w:r>
          </w:p>
        </w:tc>
        <w:tc>
          <w:tcPr>
            <w:tcW w:w="540" w:type="dxa"/>
            <w:vAlign w:val="bottom"/>
          </w:tcPr>
          <w:p>
            <w:pPr>
              <w:spacing w:after="0"/>
              <w:rPr>
                <w:sz w:val="20"/>
                <w:szCs w:val="20"/>
                <w:color w:val="auto"/>
              </w:rPr>
            </w:pPr>
          </w:p>
        </w:tc>
        <w:tc>
          <w:tcPr>
            <w:tcW w:w="1720" w:type="dxa"/>
            <w:vAlign w:val="bottom"/>
            <w:gridSpan w:val="3"/>
          </w:tcPr>
          <w:p>
            <w:pPr>
              <w:jc w:val="right"/>
              <w:ind w:right="60"/>
              <w:spacing w:after="0"/>
              <w:rPr>
                <w:sz w:val="20"/>
                <w:szCs w:val="20"/>
                <w:color w:val="auto"/>
              </w:rPr>
            </w:pPr>
            <w:r>
              <w:rPr>
                <w:rFonts w:ascii="Arial" w:cs="Arial" w:eastAsia="Arial" w:hAnsi="Arial"/>
                <w:sz w:val="18"/>
                <w:szCs w:val="18"/>
                <w:color w:val="auto"/>
              </w:rPr>
              <w:t>24,934,442</w:t>
            </w:r>
          </w:p>
        </w:tc>
      </w:tr>
      <w:tr>
        <w:trPr>
          <w:trHeight w:val="230"/>
        </w:trPr>
        <w:tc>
          <w:tcPr>
            <w:tcW w:w="3640" w:type="dxa"/>
            <w:vAlign w:val="bottom"/>
          </w:tcPr>
          <w:p>
            <w:pPr>
              <w:spacing w:after="0"/>
              <w:rPr>
                <w:sz w:val="20"/>
                <w:szCs w:val="20"/>
                <w:color w:val="auto"/>
              </w:rPr>
            </w:pPr>
          </w:p>
        </w:tc>
        <w:tc>
          <w:tcPr>
            <w:tcW w:w="1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2,910,557,652</w:t>
            </w:r>
          </w:p>
        </w:tc>
        <w:tc>
          <w:tcPr>
            <w:tcW w:w="540" w:type="dxa"/>
            <w:vAlign w:val="bottom"/>
          </w:tcPr>
          <w:p>
            <w:pPr>
              <w:spacing w:after="0"/>
              <w:rPr>
                <w:sz w:val="20"/>
                <w:szCs w:val="20"/>
                <w:color w:val="auto"/>
              </w:rPr>
            </w:pPr>
          </w:p>
        </w:tc>
        <w:tc>
          <w:tcPr>
            <w:tcW w:w="1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627,049,756</w:t>
            </w:r>
          </w:p>
        </w:tc>
        <w:tc>
          <w:tcPr>
            <w:tcW w:w="540" w:type="dxa"/>
            <w:vAlign w:val="bottom"/>
          </w:tcPr>
          <w:p>
            <w:pPr>
              <w:spacing w:after="0"/>
              <w:rPr>
                <w:sz w:val="20"/>
                <w:szCs w:val="20"/>
                <w:color w:val="auto"/>
              </w:rPr>
            </w:pPr>
          </w:p>
        </w:tc>
        <w:tc>
          <w:tcPr>
            <w:tcW w:w="17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3,537,607,408</w:t>
            </w:r>
          </w:p>
        </w:tc>
      </w:tr>
      <w:tr>
        <w:trPr>
          <w:trHeight w:val="440"/>
        </w:trPr>
        <w:tc>
          <w:tcPr>
            <w:tcW w:w="3640" w:type="dxa"/>
            <w:vAlign w:val="bottom"/>
          </w:tcPr>
          <w:p>
            <w:pPr>
              <w:spacing w:after="0"/>
              <w:rPr>
                <w:sz w:val="20"/>
                <w:szCs w:val="20"/>
                <w:color w:val="auto"/>
              </w:rPr>
            </w:pPr>
            <w:r>
              <w:rPr>
                <w:rFonts w:ascii="Arial" w:cs="Arial" w:eastAsia="Arial" w:hAnsi="Arial"/>
                <w:sz w:val="18"/>
                <w:szCs w:val="18"/>
                <w:color w:val="auto"/>
              </w:rPr>
              <w:t>Investments measured at net asset value:</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5"/>
        </w:trPr>
        <w:tc>
          <w:tcPr>
            <w:tcW w:w="3640" w:type="dxa"/>
            <w:vAlign w:val="bottom"/>
          </w:tcPr>
          <w:p>
            <w:pPr>
              <w:ind w:left="320"/>
              <w:spacing w:after="0"/>
              <w:rPr>
                <w:sz w:val="20"/>
                <w:szCs w:val="20"/>
                <w:color w:val="auto"/>
              </w:rPr>
            </w:pPr>
            <w:r>
              <w:rPr>
                <w:rFonts w:ascii="Arial" w:cs="Arial" w:eastAsia="Arial" w:hAnsi="Arial"/>
                <w:sz w:val="18"/>
                <w:szCs w:val="18"/>
                <w:color w:val="auto"/>
              </w:rPr>
              <w:t>Common/collective funds</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7,883,697,168</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11,421,304,575</w:t>
            </w:r>
          </w:p>
        </w:tc>
      </w:tr>
    </w:tbl>
    <w:p>
      <w:pPr>
        <w:spacing w:after="0" w:line="27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224155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840" w:top="1440" w:right="479" w:bottom="1440" w:gutter="0" w:footer="0" w:header="0"/>
        </w:sectPr>
      </w:pPr>
    </w:p>
    <w:bookmarkStart w:id="13" w:name="page14"/>
    <w:bookmarkEnd w:id="13"/>
    <w:p>
      <w:pPr>
        <w:ind w:left="512" w:hanging="512"/>
        <w:spacing w:after="0"/>
        <w:tabs>
          <w:tab w:leader="none" w:pos="51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and Parties-in-Interest Transactions</w:t>
      </w:r>
    </w:p>
    <w:p>
      <w:pPr>
        <w:spacing w:after="0" w:line="225" w:lineRule="exact"/>
        <w:rPr>
          <w:rFonts w:ascii="Arial" w:cs="Arial" w:eastAsia="Arial" w:hAnsi="Arial"/>
          <w:sz w:val="18"/>
          <w:szCs w:val="18"/>
          <w:b w:val="1"/>
          <w:bCs w:val="1"/>
          <w:color w:val="auto"/>
        </w:rPr>
      </w:pPr>
    </w:p>
    <w:p>
      <w:pPr>
        <w:ind w:left="51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Shell, the Trustees, the Plan Administrator and certain other Plan service providers qualify as parties-in-interest. In addition, the Plan invests in Royal Dutch Shell plc (now known as Shell plc) American Depository Shares and certain funds maintained by affiliates of the Plan’s record keeper, which qualify as related party and party-in-interest transactions. These transactions qualify for exemptions from the prohibited transaction rules. Notes receivable from participants also qualify as party-in-interest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233045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7" w:right="35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Supplemental Schedule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233045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5"/>
          <w:szCs w:val="25"/>
          <w:b w:val="1"/>
          <w:bCs w:val="1"/>
          <w:color w:val="auto"/>
        </w:rPr>
        <w:t>Shell Provident Fund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H, Line 4i - Schedule of Assets (Held at End of Year)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EIN 13-1299890</w:t>
      </w:r>
    </w:p>
    <w:p>
      <w:pPr>
        <w:spacing w:after="0"/>
        <w:rPr>
          <w:sz w:val="20"/>
          <w:szCs w:val="20"/>
          <w:color w:val="auto"/>
        </w:rPr>
      </w:pPr>
      <w:r>
        <w:rPr>
          <w:rFonts w:ascii="Arial" w:cs="Arial" w:eastAsia="Arial" w:hAnsi="Arial"/>
          <w:sz w:val="20"/>
          <w:szCs w:val="20"/>
          <w:b w:val="1"/>
          <w:bCs w:val="1"/>
          <w:color w:val="auto"/>
        </w:rPr>
        <w:t>Plan No. 002</w:t>
      </w:r>
    </w:p>
    <w:p>
      <w:pPr>
        <w:spacing w:after="0"/>
        <w:rPr>
          <w:sz w:val="20"/>
          <w:szCs w:val="20"/>
          <w:color w:val="auto"/>
        </w:rPr>
      </w:pPr>
      <w:r>
        <w:rPr>
          <w:rFonts w:ascii="Arial" w:cs="Arial" w:eastAsia="Arial" w:hAnsi="Arial"/>
          <w:sz w:val="20"/>
          <w:szCs w:val="20"/>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48"/>
        </w:trPr>
        <w:tc>
          <w:tcPr>
            <w:tcW w:w="220" w:type="dxa"/>
            <w:vAlign w:val="bottom"/>
          </w:tcPr>
          <w:p>
            <w:pPr>
              <w:jc w:val="center"/>
              <w:ind w:right="26"/>
              <w:spacing w:after="0"/>
              <w:rPr>
                <w:sz w:val="20"/>
                <w:szCs w:val="20"/>
                <w:color w:val="auto"/>
              </w:rPr>
            </w:pPr>
            <w:r>
              <w:rPr>
                <w:rFonts w:ascii="Arial" w:cs="Arial" w:eastAsia="Arial" w:hAnsi="Arial"/>
                <w:sz w:val="11"/>
                <w:szCs w:val="11"/>
                <w:b w:val="1"/>
                <w:bCs w:val="1"/>
                <w:color w:val="auto"/>
                <w:w w:val="95"/>
              </w:rPr>
              <w:t>{a}</w:t>
            </w:r>
          </w:p>
        </w:tc>
        <w:tc>
          <w:tcPr>
            <w:tcW w:w="4040" w:type="dxa"/>
            <w:vAlign w:val="bottom"/>
          </w:tcPr>
          <w:p>
            <w:pPr>
              <w:jc w:val="center"/>
              <w:spacing w:after="0"/>
              <w:rPr>
                <w:sz w:val="20"/>
                <w:szCs w:val="20"/>
                <w:color w:val="auto"/>
              </w:rPr>
            </w:pPr>
            <w:r>
              <w:rPr>
                <w:rFonts w:ascii="Arial" w:cs="Arial" w:eastAsia="Arial" w:hAnsi="Arial"/>
                <w:sz w:val="11"/>
                <w:szCs w:val="11"/>
                <w:b w:val="1"/>
                <w:bCs w:val="1"/>
                <w:color w:val="auto"/>
                <w:w w:val="91"/>
              </w:rPr>
              <w:t>{b}</w:t>
            </w:r>
          </w:p>
        </w:tc>
        <w:tc>
          <w:tcPr>
            <w:tcW w:w="1140" w:type="dxa"/>
            <w:vAlign w:val="bottom"/>
          </w:tcPr>
          <w:p>
            <w:pPr>
              <w:spacing w:after="0"/>
              <w:rPr>
                <w:sz w:val="12"/>
                <w:szCs w:val="12"/>
                <w:color w:val="auto"/>
              </w:rPr>
            </w:pPr>
          </w:p>
        </w:tc>
        <w:tc>
          <w:tcPr>
            <w:tcW w:w="1900" w:type="dxa"/>
            <w:vAlign w:val="bottom"/>
          </w:tcPr>
          <w:p>
            <w:pPr>
              <w:jc w:val="center"/>
              <w:spacing w:after="0"/>
              <w:rPr>
                <w:sz w:val="20"/>
                <w:szCs w:val="20"/>
                <w:color w:val="auto"/>
              </w:rPr>
            </w:pPr>
            <w:r>
              <w:rPr>
                <w:rFonts w:ascii="Arial" w:cs="Arial" w:eastAsia="Arial" w:hAnsi="Arial"/>
                <w:sz w:val="11"/>
                <w:szCs w:val="11"/>
                <w:b w:val="1"/>
                <w:bCs w:val="1"/>
                <w:color w:val="auto"/>
                <w:w w:val="95"/>
              </w:rPr>
              <w:t>{c}</w:t>
            </w:r>
          </w:p>
        </w:tc>
        <w:tc>
          <w:tcPr>
            <w:tcW w:w="1180" w:type="dxa"/>
            <w:vAlign w:val="bottom"/>
          </w:tcPr>
          <w:p>
            <w:pPr>
              <w:spacing w:after="0"/>
              <w:rPr>
                <w:sz w:val="12"/>
                <w:szCs w:val="12"/>
                <w:color w:val="auto"/>
              </w:rPr>
            </w:pPr>
          </w:p>
        </w:tc>
        <w:tc>
          <w:tcPr>
            <w:tcW w:w="1140" w:type="dxa"/>
            <w:vAlign w:val="bottom"/>
          </w:tcPr>
          <w:p>
            <w:pPr>
              <w:jc w:val="center"/>
              <w:ind w:right="66"/>
              <w:spacing w:after="0"/>
              <w:rPr>
                <w:sz w:val="20"/>
                <w:szCs w:val="20"/>
                <w:color w:val="auto"/>
              </w:rPr>
            </w:pPr>
            <w:r>
              <w:rPr>
                <w:rFonts w:ascii="Arial" w:cs="Arial" w:eastAsia="Arial" w:hAnsi="Arial"/>
                <w:sz w:val="11"/>
                <w:szCs w:val="11"/>
                <w:b w:val="1"/>
                <w:bCs w:val="1"/>
                <w:color w:val="auto"/>
                <w:w w:val="91"/>
              </w:rPr>
              <w:t>{d}</w:t>
            </w:r>
          </w:p>
        </w:tc>
        <w:tc>
          <w:tcPr>
            <w:tcW w:w="1440" w:type="dxa"/>
            <w:vAlign w:val="bottom"/>
          </w:tcPr>
          <w:p>
            <w:pPr>
              <w:jc w:val="center"/>
              <w:ind w:right="6"/>
              <w:spacing w:after="0"/>
              <w:rPr>
                <w:sz w:val="20"/>
                <w:szCs w:val="20"/>
                <w:color w:val="auto"/>
              </w:rPr>
            </w:pPr>
            <w:r>
              <w:rPr>
                <w:rFonts w:ascii="Arial" w:cs="Arial" w:eastAsia="Arial" w:hAnsi="Arial"/>
                <w:sz w:val="11"/>
                <w:szCs w:val="11"/>
                <w:b w:val="1"/>
                <w:bCs w:val="1"/>
                <w:color w:val="auto"/>
                <w:w w:val="95"/>
              </w:rPr>
              <w:t>{e}</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9"/>
              </w:rPr>
              <w:t>Description of Investment</w:t>
            </w:r>
          </w:p>
        </w:tc>
        <w:tc>
          <w:tcPr>
            <w:tcW w:w="118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0" w:type="dxa"/>
            <w:vAlign w:val="bottom"/>
          </w:tcPr>
          <w:p>
            <w:pPr>
              <w:spacing w:after="0"/>
              <w:rPr>
                <w:sz w:val="9"/>
                <w:szCs w:val="9"/>
                <w:color w:val="auto"/>
              </w:rPr>
            </w:pPr>
          </w:p>
        </w:tc>
        <w:tc>
          <w:tcPr>
            <w:tcW w:w="40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8"/>
              </w:rPr>
              <w:t>Identity of Issuer, Borrower, Lessor</w:t>
            </w:r>
          </w:p>
        </w:tc>
        <w:tc>
          <w:tcPr>
            <w:tcW w:w="1140" w:type="dxa"/>
            <w:vAlign w:val="bottom"/>
          </w:tcPr>
          <w:p>
            <w:pPr>
              <w:jc w:val="center"/>
              <w:ind w:left="226"/>
              <w:spacing w:after="0" w:line="109" w:lineRule="exact"/>
              <w:rPr>
                <w:sz w:val="20"/>
                <w:szCs w:val="20"/>
                <w:color w:val="auto"/>
              </w:rPr>
            </w:pPr>
            <w:r>
              <w:rPr>
                <w:rFonts w:ascii="Arial" w:cs="Arial" w:eastAsia="Arial" w:hAnsi="Arial"/>
                <w:sz w:val="11"/>
                <w:szCs w:val="11"/>
                <w:b w:val="1"/>
                <w:bCs w:val="1"/>
                <w:color w:val="auto"/>
              </w:rPr>
              <w:t>Par</w:t>
            </w:r>
          </w:p>
        </w:tc>
        <w:tc>
          <w:tcPr>
            <w:tcW w:w="19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2"/>
              </w:rPr>
              <w:t>Rate</w:t>
            </w:r>
          </w:p>
        </w:tc>
        <w:tc>
          <w:tcPr>
            <w:tcW w:w="1180" w:type="dxa"/>
            <w:vAlign w:val="bottom"/>
          </w:tcPr>
          <w:p>
            <w:pPr>
              <w:jc w:val="center"/>
              <w:ind w:right="186"/>
              <w:spacing w:after="0" w:line="109" w:lineRule="exact"/>
              <w:rPr>
                <w:sz w:val="20"/>
                <w:szCs w:val="20"/>
                <w:color w:val="auto"/>
              </w:rPr>
            </w:pPr>
            <w:r>
              <w:rPr>
                <w:rFonts w:ascii="Arial" w:cs="Arial" w:eastAsia="Arial" w:hAnsi="Arial"/>
                <w:sz w:val="11"/>
                <w:szCs w:val="11"/>
                <w:b w:val="1"/>
                <w:bCs w:val="1"/>
                <w:color w:val="auto"/>
                <w:w w:val="98"/>
              </w:rPr>
              <w:t>Maturity</w:t>
            </w:r>
          </w:p>
        </w:tc>
        <w:tc>
          <w:tcPr>
            <w:tcW w:w="1140" w:type="dxa"/>
            <w:vAlign w:val="bottom"/>
            <w:vMerge w:val="restart"/>
          </w:tcPr>
          <w:p>
            <w:pPr>
              <w:jc w:val="center"/>
              <w:ind w:right="46"/>
              <w:spacing w:after="0"/>
              <w:rPr>
                <w:sz w:val="20"/>
                <w:szCs w:val="20"/>
                <w:color w:val="auto"/>
              </w:rPr>
            </w:pPr>
            <w:r>
              <w:rPr>
                <w:rFonts w:ascii="Arial" w:cs="Arial" w:eastAsia="Arial" w:hAnsi="Arial"/>
                <w:sz w:val="11"/>
                <w:szCs w:val="11"/>
                <w:b w:val="1"/>
                <w:bCs w:val="1"/>
                <w:color w:val="auto"/>
                <w:w w:val="97"/>
              </w:rPr>
              <w:t>Cost</w:t>
            </w:r>
          </w:p>
        </w:tc>
        <w:tc>
          <w:tcPr>
            <w:tcW w:w="14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rPr>
              <w:t>Current</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4040" w:type="dxa"/>
            <w:vAlign w:val="bottom"/>
          </w:tcPr>
          <w:p>
            <w:pPr>
              <w:jc w:val="center"/>
              <w:spacing w:after="0"/>
              <w:rPr>
                <w:sz w:val="20"/>
                <w:szCs w:val="20"/>
                <w:color w:val="auto"/>
              </w:rPr>
            </w:pPr>
            <w:r>
              <w:rPr>
                <w:rFonts w:ascii="Arial" w:cs="Arial" w:eastAsia="Arial" w:hAnsi="Arial"/>
                <w:sz w:val="11"/>
                <w:szCs w:val="11"/>
                <w:b w:val="1"/>
                <w:bCs w:val="1"/>
                <w:color w:val="auto"/>
                <w:w w:val="95"/>
              </w:rPr>
              <w:t>or Similar Party</w:t>
            </w:r>
          </w:p>
        </w:tc>
        <w:tc>
          <w:tcPr>
            <w:tcW w:w="1140" w:type="dxa"/>
            <w:vAlign w:val="bottom"/>
          </w:tcPr>
          <w:p>
            <w:pPr>
              <w:jc w:val="center"/>
              <w:ind w:left="206"/>
              <w:spacing w:after="0"/>
              <w:rPr>
                <w:sz w:val="20"/>
                <w:szCs w:val="20"/>
                <w:color w:val="auto"/>
              </w:rPr>
            </w:pPr>
            <w:r>
              <w:rPr>
                <w:rFonts w:ascii="Arial" w:cs="Arial" w:eastAsia="Arial" w:hAnsi="Arial"/>
                <w:sz w:val="11"/>
                <w:szCs w:val="11"/>
                <w:b w:val="1"/>
                <w:bCs w:val="1"/>
                <w:color w:val="auto"/>
                <w:w w:val="95"/>
              </w:rPr>
              <w:t>Value</w:t>
            </w:r>
          </w:p>
        </w:tc>
        <w:tc>
          <w:tcPr>
            <w:tcW w:w="1900" w:type="dxa"/>
            <w:vAlign w:val="bottom"/>
          </w:tcPr>
          <w:p>
            <w:pPr>
              <w:jc w:val="center"/>
              <w:spacing w:after="0"/>
              <w:rPr>
                <w:sz w:val="20"/>
                <w:szCs w:val="20"/>
                <w:color w:val="auto"/>
              </w:rPr>
            </w:pPr>
            <w:r>
              <w:rPr>
                <w:rFonts w:ascii="Arial" w:cs="Arial" w:eastAsia="Arial" w:hAnsi="Arial"/>
                <w:sz w:val="11"/>
                <w:szCs w:val="11"/>
                <w:b w:val="1"/>
                <w:bCs w:val="1"/>
                <w:color w:val="auto"/>
                <w:w w:val="97"/>
              </w:rPr>
              <w:t>Percentage</w:t>
            </w:r>
          </w:p>
        </w:tc>
        <w:tc>
          <w:tcPr>
            <w:tcW w:w="1180" w:type="dxa"/>
            <w:vAlign w:val="bottom"/>
          </w:tcPr>
          <w:p>
            <w:pPr>
              <w:jc w:val="center"/>
              <w:ind w:right="186"/>
              <w:spacing w:after="0"/>
              <w:rPr>
                <w:sz w:val="20"/>
                <w:szCs w:val="20"/>
                <w:color w:val="auto"/>
              </w:rPr>
            </w:pPr>
            <w:r>
              <w:rPr>
                <w:rFonts w:ascii="Arial" w:cs="Arial" w:eastAsia="Arial" w:hAnsi="Arial"/>
                <w:sz w:val="11"/>
                <w:szCs w:val="11"/>
                <w:b w:val="1"/>
                <w:bCs w:val="1"/>
                <w:color w:val="auto"/>
                <w:w w:val="92"/>
              </w:rPr>
              <w:t>Date</w:t>
            </w:r>
          </w:p>
        </w:tc>
        <w:tc>
          <w:tcPr>
            <w:tcW w:w="1140" w:type="dxa"/>
            <w:vAlign w:val="bottom"/>
            <w:vMerge w:val="continue"/>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432"/>
        </w:trPr>
        <w:tc>
          <w:tcPr>
            <w:tcW w:w="2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4040" w:type="dxa"/>
            <w:vAlign w:val="bottom"/>
          </w:tcPr>
          <w:p>
            <w:pPr>
              <w:ind w:left="80"/>
              <w:spacing w:after="0"/>
              <w:rPr>
                <w:sz w:val="20"/>
                <w:szCs w:val="20"/>
                <w:color w:val="auto"/>
              </w:rPr>
            </w:pPr>
            <w:r>
              <w:rPr>
                <w:rFonts w:ascii="Arial" w:cs="Arial" w:eastAsia="Arial" w:hAnsi="Arial"/>
                <w:sz w:val="11"/>
                <w:szCs w:val="11"/>
                <w:b w:val="1"/>
                <w:bCs w:val="1"/>
                <w:color w:val="auto"/>
              </w:rPr>
              <w:t>Thrift Fund</w:t>
            </w:r>
          </w:p>
        </w:tc>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FIAM Institutional Cash Commingled Pool</w:t>
            </w:r>
          </w:p>
        </w:tc>
        <w:tc>
          <w:tcPr>
            <w:tcW w:w="11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557,626,935</w:t>
            </w:r>
          </w:p>
        </w:tc>
        <w:tc>
          <w:tcPr>
            <w:tcW w:w="0" w:type="dxa"/>
            <w:vAlign w:val="bottom"/>
          </w:tcPr>
          <w:p>
            <w:pPr>
              <w:spacing w:after="0"/>
              <w:rPr>
                <w:sz w:val="1"/>
                <w:szCs w:val="1"/>
                <w:color w:val="auto"/>
              </w:rPr>
            </w:pPr>
          </w:p>
        </w:tc>
      </w:tr>
      <w:tr>
        <w:trPr>
          <w:trHeight w:val="371"/>
        </w:trPr>
        <w:tc>
          <w:tcPr>
            <w:tcW w:w="220" w:type="dxa"/>
            <w:vAlign w:val="bottom"/>
          </w:tcPr>
          <w:p>
            <w:pPr>
              <w:spacing w:after="0"/>
              <w:rPr>
                <w:sz w:val="24"/>
                <w:szCs w:val="24"/>
                <w:color w:val="auto"/>
              </w:rPr>
            </w:pPr>
          </w:p>
        </w:tc>
        <w:tc>
          <w:tcPr>
            <w:tcW w:w="4040" w:type="dxa"/>
            <w:vAlign w:val="bottom"/>
          </w:tcPr>
          <w:p>
            <w:pPr>
              <w:ind w:left="80"/>
              <w:spacing w:after="0"/>
              <w:rPr>
                <w:sz w:val="20"/>
                <w:szCs w:val="20"/>
                <w:color w:val="auto"/>
              </w:rPr>
            </w:pPr>
            <w:r>
              <w:rPr>
                <w:rFonts w:ascii="Arial" w:cs="Arial" w:eastAsia="Arial" w:hAnsi="Arial"/>
                <w:sz w:val="11"/>
                <w:szCs w:val="11"/>
                <w:b w:val="1"/>
                <w:bCs w:val="1"/>
                <w:color w:val="auto"/>
              </w:rPr>
              <w:t>Common/Collective Funds</w:t>
            </w:r>
          </w:p>
        </w:tc>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20" w:type="dxa"/>
            <w:vAlign w:val="bottom"/>
          </w:tcPr>
          <w:p>
            <w:pPr>
              <w:spacing w:after="0"/>
              <w:rPr>
                <w:sz w:val="13"/>
                <w:szCs w:val="13"/>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1-3 Year Gov/Credit Bond Index Fund F</w:t>
            </w:r>
          </w:p>
        </w:tc>
        <w:tc>
          <w:tcPr>
            <w:tcW w:w="11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79,509,468</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20 Plus Treasury Bond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266,473,474</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EAFE Equity Index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567,916,610</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Developed Real Estate Index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28,863,395</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Emerging Markets Index Non-Lendable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215,814,097</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LifePath® Index 2030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552,550,592</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LifePath® Index 2035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560,996,102</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LifePath® Index 2040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629,840,568</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LifePath® Index 2045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435,565,389</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LifePath® Index 2050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392,719,119</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LifePath® Index 2055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192,817,388</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LifePath® Index 2060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63,955,130</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LifePath® Index 2065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33,447,023</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LifePath® Index 2070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2,878,699</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LifePath® Index Retirement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1,011,047,844</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Mid Capital Equity Index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487,399,400</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Russell 2000® Index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163,434,090</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80"/>
              <w:spacing w:after="0"/>
              <w:rPr>
                <w:sz w:val="20"/>
                <w:szCs w:val="20"/>
                <w:color w:val="auto"/>
              </w:rPr>
            </w:pPr>
            <w:r>
              <w:rPr>
                <w:rFonts w:ascii="Arial" w:cs="Arial" w:eastAsia="Arial" w:hAnsi="Arial"/>
                <w:sz w:val="11"/>
                <w:szCs w:val="11"/>
                <w:color w:val="auto"/>
              </w:rPr>
              <w:t>U.S. Debt Fund F</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260"/>
              <w:spacing w:after="0"/>
              <w:rPr>
                <w:sz w:val="20"/>
                <w:szCs w:val="20"/>
                <w:color w:val="auto"/>
              </w:rPr>
            </w:pPr>
            <w:r>
              <w:rPr>
                <w:rFonts w:ascii="Arial" w:cs="Arial" w:eastAsia="Arial" w:hAnsi="Arial"/>
                <w:sz w:val="11"/>
                <w:szCs w:val="11"/>
                <w:color w:val="auto"/>
              </w:rPr>
              <w:t>Shell BR US Debt Index Ad Pool</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258,664,686</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260"/>
              <w:spacing w:after="0"/>
              <w:rPr>
                <w:sz w:val="20"/>
                <w:szCs w:val="20"/>
                <w:color w:val="auto"/>
              </w:rPr>
            </w:pPr>
            <w:r>
              <w:rPr>
                <w:rFonts w:ascii="Arial" w:cs="Arial" w:eastAsia="Arial" w:hAnsi="Arial"/>
                <w:sz w:val="11"/>
                <w:szCs w:val="11"/>
                <w:color w:val="auto"/>
              </w:rPr>
              <w:t>Shell FIAM Core Pls Adm Pl</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141,089,828</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4040" w:type="dxa"/>
            <w:vAlign w:val="bottom"/>
          </w:tcPr>
          <w:p>
            <w:pPr>
              <w:ind w:left="260"/>
              <w:spacing w:after="0"/>
              <w:rPr>
                <w:sz w:val="20"/>
                <w:szCs w:val="20"/>
                <w:color w:val="auto"/>
              </w:rPr>
            </w:pPr>
            <w:r>
              <w:rPr>
                <w:rFonts w:ascii="Arial" w:cs="Arial" w:eastAsia="Arial" w:hAnsi="Arial"/>
                <w:sz w:val="11"/>
                <w:szCs w:val="11"/>
                <w:color w:val="auto"/>
              </w:rPr>
              <w:t>Columbia Threadneedle Core Plus Fixed in Class SR1</w:t>
            </w:r>
          </w:p>
        </w:tc>
        <w:tc>
          <w:tcPr>
            <w:tcW w:w="1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jc w:val="center"/>
              <w:ind w:right="46"/>
              <w:spacing w:after="0"/>
              <w:rPr>
                <w:sz w:val="20"/>
                <w:szCs w:val="20"/>
                <w:color w:val="auto"/>
              </w:rPr>
            </w:pPr>
            <w:r>
              <w:rPr>
                <w:rFonts w:ascii="Arial" w:cs="Arial" w:eastAsia="Arial" w:hAnsi="Arial"/>
                <w:sz w:val="11"/>
                <w:szCs w:val="11"/>
                <w:color w:val="auto"/>
                <w:w w:val="92"/>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70,544,914</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20" w:hanging="171"/>
        <w:spacing w:after="0"/>
        <w:tabs>
          <w:tab w:leader="none" w:pos="420" w:val="left"/>
        </w:tabs>
        <w:numPr>
          <w:ilvl w:val="0"/>
          <w:numId w:val="7"/>
        </w:numPr>
        <w:rPr>
          <w:rFonts w:ascii="Arial" w:cs="Arial" w:eastAsia="Arial" w:hAnsi="Arial"/>
          <w:sz w:val="11"/>
          <w:szCs w:val="11"/>
          <w:color w:val="auto"/>
        </w:rPr>
      </w:pPr>
      <w:r>
        <w:rPr>
          <w:rFonts w:ascii="Arial" w:cs="Arial" w:eastAsia="Arial" w:hAnsi="Arial"/>
          <w:sz w:val="11"/>
          <w:szCs w:val="11"/>
          <w:color w:val="auto"/>
        </w:rPr>
        <w:t>U.S. Equity Index Fund</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160" w:type="dxa"/>
            <w:vAlign w:val="bottom"/>
          </w:tcPr>
          <w:p>
            <w:pPr>
              <w:spacing w:after="0"/>
              <w:rPr>
                <w:sz w:val="12"/>
                <w:szCs w:val="12"/>
                <w:color w:val="auto"/>
              </w:rPr>
            </w:pPr>
          </w:p>
        </w:tc>
        <w:tc>
          <w:tcPr>
            <w:tcW w:w="3600" w:type="dxa"/>
            <w:vAlign w:val="bottom"/>
          </w:tcPr>
          <w:p>
            <w:pPr>
              <w:ind w:left="240"/>
              <w:spacing w:after="0"/>
              <w:rPr>
                <w:sz w:val="20"/>
                <w:szCs w:val="20"/>
                <w:color w:val="auto"/>
              </w:rPr>
            </w:pPr>
            <w:r>
              <w:rPr>
                <w:rFonts w:ascii="Arial" w:cs="Arial" w:eastAsia="Arial" w:hAnsi="Arial"/>
                <w:sz w:val="11"/>
                <w:szCs w:val="11"/>
                <w:color w:val="auto"/>
              </w:rPr>
              <w:t>Spartan 500 Index Pool</w:t>
            </w:r>
          </w:p>
        </w:tc>
        <w:tc>
          <w:tcPr>
            <w:tcW w:w="5680" w:type="dxa"/>
            <w:vAlign w:val="bottom"/>
          </w:tcPr>
          <w:p>
            <w:pPr>
              <w:jc w:val="right"/>
              <w:ind w:right="426"/>
              <w:spacing w:after="0"/>
              <w:rPr>
                <w:sz w:val="20"/>
                <w:szCs w:val="20"/>
                <w:color w:val="auto"/>
              </w:rPr>
            </w:pPr>
            <w:r>
              <w:rPr>
                <w:rFonts w:ascii="Arial" w:cs="Arial" w:eastAsia="Arial" w:hAnsi="Arial"/>
                <w:sz w:val="11"/>
                <w:szCs w:val="11"/>
                <w:color w:val="auto"/>
              </w:rPr>
              <w:t>**</w:t>
            </w:r>
          </w:p>
        </w:tc>
        <w:tc>
          <w:tcPr>
            <w:tcW w:w="1600" w:type="dxa"/>
            <w:vAlign w:val="bottom"/>
          </w:tcPr>
          <w:p>
            <w:pPr>
              <w:jc w:val="right"/>
              <w:ind w:right="6"/>
              <w:spacing w:after="0"/>
              <w:rPr>
                <w:sz w:val="20"/>
                <w:szCs w:val="20"/>
                <w:color w:val="auto"/>
              </w:rPr>
            </w:pPr>
            <w:r>
              <w:rPr>
                <w:rFonts w:ascii="Arial" w:cs="Arial" w:eastAsia="Arial" w:hAnsi="Arial"/>
                <w:sz w:val="11"/>
                <w:szCs w:val="11"/>
                <w:color w:val="auto"/>
              </w:rPr>
              <w:t>2,266,724,231</w:t>
            </w:r>
          </w:p>
        </w:tc>
        <w:tc>
          <w:tcPr>
            <w:tcW w:w="0" w:type="dxa"/>
            <w:vAlign w:val="bottom"/>
          </w:tcPr>
          <w:p>
            <w:pPr>
              <w:spacing w:after="0"/>
              <w:rPr>
                <w:sz w:val="1"/>
                <w:szCs w:val="1"/>
                <w:color w:val="auto"/>
              </w:rPr>
            </w:pPr>
          </w:p>
        </w:tc>
      </w:tr>
      <w:tr>
        <w:trPr>
          <w:trHeight w:val="370"/>
        </w:trPr>
        <w:tc>
          <w:tcPr>
            <w:tcW w:w="160" w:type="dxa"/>
            <w:vAlign w:val="bottom"/>
          </w:tcPr>
          <w:p>
            <w:pPr>
              <w:spacing w:after="0"/>
              <w:rPr>
                <w:sz w:val="24"/>
                <w:szCs w:val="24"/>
                <w:color w:val="auto"/>
              </w:rPr>
            </w:pPr>
          </w:p>
        </w:tc>
        <w:tc>
          <w:tcPr>
            <w:tcW w:w="3600" w:type="dxa"/>
            <w:vAlign w:val="bottom"/>
          </w:tcPr>
          <w:p>
            <w:pPr>
              <w:ind w:left="60"/>
              <w:spacing w:after="0"/>
              <w:rPr>
                <w:sz w:val="20"/>
                <w:szCs w:val="20"/>
                <w:color w:val="auto"/>
              </w:rPr>
            </w:pPr>
            <w:r>
              <w:rPr>
                <w:rFonts w:ascii="Arial" w:cs="Arial" w:eastAsia="Arial" w:hAnsi="Arial"/>
                <w:sz w:val="11"/>
                <w:szCs w:val="11"/>
                <w:b w:val="1"/>
                <w:bCs w:val="1"/>
                <w:color w:val="auto"/>
              </w:rPr>
              <w:t>Shell Stock Fund</w:t>
            </w:r>
          </w:p>
        </w:tc>
        <w:tc>
          <w:tcPr>
            <w:tcW w:w="5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600" w:type="dxa"/>
            <w:vAlign w:val="bottom"/>
          </w:tcPr>
          <w:p>
            <w:pPr>
              <w:ind w:left="60"/>
              <w:spacing w:after="0"/>
              <w:rPr>
                <w:sz w:val="20"/>
                <w:szCs w:val="20"/>
                <w:color w:val="auto"/>
              </w:rPr>
            </w:pPr>
            <w:r>
              <w:rPr>
                <w:rFonts w:ascii="Arial" w:cs="Arial" w:eastAsia="Arial" w:hAnsi="Arial"/>
                <w:sz w:val="11"/>
                <w:szCs w:val="11"/>
                <w:color w:val="auto"/>
              </w:rPr>
              <w:t>Shell Stock Fund</w:t>
            </w:r>
          </w:p>
        </w:tc>
        <w:tc>
          <w:tcPr>
            <w:tcW w:w="5680" w:type="dxa"/>
            <w:vAlign w:val="bottom"/>
          </w:tcPr>
          <w:p>
            <w:pPr>
              <w:jc w:val="right"/>
              <w:ind w:right="426"/>
              <w:spacing w:after="0"/>
              <w:rPr>
                <w:sz w:val="20"/>
                <w:szCs w:val="20"/>
                <w:color w:val="auto"/>
              </w:rPr>
            </w:pPr>
            <w:r>
              <w:rPr>
                <w:rFonts w:ascii="Arial" w:cs="Arial" w:eastAsia="Arial" w:hAnsi="Arial"/>
                <w:sz w:val="11"/>
                <w:szCs w:val="11"/>
                <w:color w:val="auto"/>
              </w:rPr>
              <w:t>**</w:t>
            </w:r>
          </w:p>
        </w:tc>
        <w:tc>
          <w:tcPr>
            <w:tcW w:w="1600" w:type="dxa"/>
            <w:vAlign w:val="bottom"/>
          </w:tcPr>
          <w:p>
            <w:pPr>
              <w:jc w:val="right"/>
              <w:ind w:right="6"/>
              <w:spacing w:after="0"/>
              <w:rPr>
                <w:sz w:val="20"/>
                <w:szCs w:val="20"/>
                <w:color w:val="auto"/>
              </w:rPr>
            </w:pPr>
            <w:r>
              <w:rPr>
                <w:rFonts w:ascii="Arial" w:cs="Arial" w:eastAsia="Arial" w:hAnsi="Arial"/>
                <w:sz w:val="11"/>
                <w:szCs w:val="11"/>
                <w:color w:val="auto"/>
              </w:rPr>
              <w:t>271,095,936</w:t>
            </w:r>
          </w:p>
        </w:tc>
        <w:tc>
          <w:tcPr>
            <w:tcW w:w="0" w:type="dxa"/>
            <w:vAlign w:val="bottom"/>
          </w:tcPr>
          <w:p>
            <w:pPr>
              <w:spacing w:after="0"/>
              <w:rPr>
                <w:sz w:val="1"/>
                <w:szCs w:val="1"/>
                <w:color w:val="auto"/>
              </w:rPr>
            </w:pPr>
          </w:p>
        </w:tc>
      </w:tr>
      <w:tr>
        <w:trPr>
          <w:trHeight w:val="162"/>
        </w:trPr>
        <w:tc>
          <w:tcPr>
            <w:tcW w:w="1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600" w:type="dxa"/>
            <w:vAlign w:val="bottom"/>
          </w:tcPr>
          <w:p>
            <w:pPr>
              <w:ind w:left="60"/>
              <w:spacing w:after="0"/>
              <w:rPr>
                <w:sz w:val="20"/>
                <w:szCs w:val="20"/>
                <w:color w:val="auto"/>
              </w:rPr>
            </w:pPr>
            <w:r>
              <w:rPr>
                <w:rFonts w:ascii="Arial" w:cs="Arial" w:eastAsia="Arial" w:hAnsi="Arial"/>
                <w:sz w:val="11"/>
                <w:szCs w:val="11"/>
                <w:color w:val="auto"/>
              </w:rPr>
              <w:t>Fidelity Institutional Cash Portfolio</w:t>
            </w:r>
          </w:p>
        </w:tc>
        <w:tc>
          <w:tcPr>
            <w:tcW w:w="5680" w:type="dxa"/>
            <w:vAlign w:val="bottom"/>
          </w:tcPr>
          <w:p>
            <w:pPr>
              <w:jc w:val="right"/>
              <w:ind w:right="426"/>
              <w:spacing w:after="0"/>
              <w:rPr>
                <w:sz w:val="20"/>
                <w:szCs w:val="20"/>
                <w:color w:val="auto"/>
              </w:rPr>
            </w:pPr>
            <w:r>
              <w:rPr>
                <w:rFonts w:ascii="Arial" w:cs="Arial" w:eastAsia="Arial" w:hAnsi="Arial"/>
                <w:sz w:val="11"/>
                <w:szCs w:val="11"/>
                <w:color w:val="auto"/>
              </w:rPr>
              <w:t>**</w:t>
            </w:r>
          </w:p>
        </w:tc>
        <w:tc>
          <w:tcPr>
            <w:tcW w:w="1600" w:type="dxa"/>
            <w:vAlign w:val="bottom"/>
          </w:tcPr>
          <w:p>
            <w:pPr>
              <w:jc w:val="right"/>
              <w:ind w:right="6"/>
              <w:spacing w:after="0"/>
              <w:rPr>
                <w:sz w:val="20"/>
                <w:szCs w:val="20"/>
                <w:color w:val="auto"/>
              </w:rPr>
            </w:pPr>
            <w:r>
              <w:rPr>
                <w:rFonts w:ascii="Arial" w:cs="Arial" w:eastAsia="Arial" w:hAnsi="Arial"/>
                <w:sz w:val="11"/>
                <w:szCs w:val="11"/>
                <w:color w:val="auto"/>
              </w:rPr>
              <w:t>2,561,045</w:t>
            </w:r>
          </w:p>
        </w:tc>
        <w:tc>
          <w:tcPr>
            <w:tcW w:w="0" w:type="dxa"/>
            <w:vAlign w:val="bottom"/>
          </w:tcPr>
          <w:p>
            <w:pPr>
              <w:spacing w:after="0"/>
              <w:rPr>
                <w:sz w:val="1"/>
                <w:szCs w:val="1"/>
                <w:color w:val="auto"/>
              </w:rPr>
            </w:pPr>
          </w:p>
        </w:tc>
      </w:tr>
      <w:tr>
        <w:trPr>
          <w:trHeight w:val="378"/>
        </w:trPr>
        <w:tc>
          <w:tcPr>
            <w:tcW w:w="160" w:type="dxa"/>
            <w:vAlign w:val="bottom"/>
          </w:tcPr>
          <w:p>
            <w:pPr>
              <w:jc w:val="right"/>
              <w:ind w:right="6"/>
              <w:spacing w:after="0"/>
              <w:rPr>
                <w:sz w:val="20"/>
                <w:szCs w:val="20"/>
                <w:color w:val="auto"/>
              </w:rPr>
            </w:pPr>
            <w:r>
              <w:rPr>
                <w:rFonts w:ascii="Arial" w:cs="Arial" w:eastAsia="Arial" w:hAnsi="Arial"/>
                <w:sz w:val="11"/>
                <w:szCs w:val="11"/>
                <w:color w:val="auto"/>
                <w:w w:val="92"/>
              </w:rPr>
              <w:t>**</w:t>
            </w:r>
          </w:p>
        </w:tc>
        <w:tc>
          <w:tcPr>
            <w:tcW w:w="3600" w:type="dxa"/>
            <w:vAlign w:val="bottom"/>
          </w:tcPr>
          <w:p>
            <w:pPr>
              <w:ind w:left="60"/>
              <w:spacing w:after="0"/>
              <w:rPr>
                <w:sz w:val="20"/>
                <w:szCs w:val="20"/>
                <w:color w:val="auto"/>
              </w:rPr>
            </w:pPr>
            <w:r>
              <w:rPr>
                <w:rFonts w:ascii="Arial" w:cs="Arial" w:eastAsia="Arial" w:hAnsi="Arial"/>
                <w:sz w:val="11"/>
                <w:szCs w:val="11"/>
                <w:b w:val="1"/>
                <w:bCs w:val="1"/>
                <w:color w:val="auto"/>
              </w:rPr>
              <w:t>BrokerageLink</w:t>
            </w:r>
          </w:p>
        </w:tc>
        <w:tc>
          <w:tcPr>
            <w:tcW w:w="5680" w:type="dxa"/>
            <w:vAlign w:val="bottom"/>
          </w:tcPr>
          <w:p>
            <w:pPr>
              <w:jc w:val="right"/>
              <w:ind w:right="426"/>
              <w:spacing w:after="0"/>
              <w:rPr>
                <w:sz w:val="20"/>
                <w:szCs w:val="20"/>
                <w:color w:val="auto"/>
              </w:rPr>
            </w:pPr>
            <w:r>
              <w:rPr>
                <w:rFonts w:ascii="Arial" w:cs="Arial" w:eastAsia="Arial" w:hAnsi="Arial"/>
                <w:sz w:val="11"/>
                <w:szCs w:val="11"/>
                <w:color w:val="auto"/>
              </w:rPr>
              <w:t>**</w:t>
            </w:r>
          </w:p>
        </w:tc>
        <w:tc>
          <w:tcPr>
            <w:tcW w:w="1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3,099,445,766</w:t>
            </w: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12,352,981,729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Participant Loans</w:t>
            </w:r>
          </w:p>
        </w:tc>
        <w:tc>
          <w:tcPr>
            <w:tcW w:w="5680" w:type="dxa"/>
            <w:vAlign w:val="bottom"/>
            <w:vMerge w:val="restart"/>
          </w:tcPr>
          <w:p>
            <w:pPr>
              <w:jc w:val="right"/>
              <w:ind w:right="2906"/>
              <w:spacing w:after="0"/>
              <w:rPr>
                <w:sz w:val="20"/>
                <w:szCs w:val="20"/>
                <w:color w:val="auto"/>
              </w:rPr>
            </w:pPr>
            <w:r>
              <w:rPr>
                <w:rFonts w:ascii="Arial" w:cs="Arial" w:eastAsia="Arial" w:hAnsi="Arial"/>
                <w:sz w:val="11"/>
                <w:szCs w:val="11"/>
                <w:color w:val="auto"/>
              </w:rPr>
              <w:t>3.25% - 9.50%***</w:t>
            </w: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60" w:type="dxa"/>
            <w:vAlign w:val="bottom"/>
          </w:tcPr>
          <w:p>
            <w:pPr>
              <w:spacing w:after="0"/>
              <w:rPr>
                <w:sz w:val="11"/>
                <w:szCs w:val="11"/>
                <w:color w:val="auto"/>
              </w:rPr>
            </w:pPr>
          </w:p>
        </w:tc>
        <w:tc>
          <w:tcPr>
            <w:tcW w:w="3600" w:type="dxa"/>
            <w:vAlign w:val="bottom"/>
            <w:vMerge w:val="continue"/>
          </w:tcPr>
          <w:p>
            <w:pPr>
              <w:spacing w:after="0"/>
              <w:rPr>
                <w:sz w:val="11"/>
                <w:szCs w:val="11"/>
                <w:color w:val="auto"/>
              </w:rPr>
            </w:pPr>
          </w:p>
        </w:tc>
        <w:tc>
          <w:tcPr>
            <w:tcW w:w="5680" w:type="dxa"/>
            <w:vAlign w:val="bottom"/>
            <w:vMerge w:val="continue"/>
          </w:tcPr>
          <w:p>
            <w:pPr>
              <w:spacing w:after="0"/>
              <w:rPr>
                <w:sz w:val="11"/>
                <w:szCs w:val="11"/>
                <w:color w:val="auto"/>
              </w:rPr>
            </w:pPr>
          </w:p>
        </w:tc>
        <w:tc>
          <w:tcPr>
            <w:tcW w:w="1600" w:type="dxa"/>
            <w:vAlign w:val="bottom"/>
          </w:tcPr>
          <w:p>
            <w:pPr>
              <w:jc w:val="right"/>
              <w:ind w:right="6"/>
              <w:spacing w:after="0"/>
              <w:rPr>
                <w:sz w:val="20"/>
                <w:szCs w:val="20"/>
                <w:color w:val="auto"/>
              </w:rPr>
            </w:pPr>
            <w:r>
              <w:rPr>
                <w:rFonts w:ascii="Arial" w:cs="Arial" w:eastAsia="Arial" w:hAnsi="Arial"/>
                <w:sz w:val="11"/>
                <w:szCs w:val="11"/>
                <w:color w:val="auto"/>
              </w:rPr>
              <w:t>80,860,992</w:t>
            </w:r>
          </w:p>
        </w:tc>
        <w:tc>
          <w:tcPr>
            <w:tcW w:w="0" w:type="dxa"/>
            <w:vAlign w:val="bottom"/>
          </w:tcPr>
          <w:p>
            <w:pPr>
              <w:spacing w:after="0"/>
              <w:rPr>
                <w:sz w:val="1"/>
                <w:szCs w:val="1"/>
                <w:color w:val="auto"/>
              </w:rPr>
            </w:pPr>
          </w:p>
        </w:tc>
      </w:tr>
      <w:tr>
        <w:trPr>
          <w:trHeight w:val="173"/>
        </w:trPr>
        <w:tc>
          <w:tcPr>
            <w:tcW w:w="160" w:type="dxa"/>
            <w:vAlign w:val="bottom"/>
          </w:tcPr>
          <w:p>
            <w:pPr>
              <w:spacing w:after="0"/>
              <w:rPr>
                <w:sz w:val="15"/>
                <w:szCs w:val="15"/>
                <w:color w:val="auto"/>
              </w:rPr>
            </w:pPr>
          </w:p>
        </w:tc>
        <w:tc>
          <w:tcPr>
            <w:tcW w:w="3600" w:type="dxa"/>
            <w:vAlign w:val="bottom"/>
          </w:tcPr>
          <w:p>
            <w:pPr>
              <w:ind w:left="60"/>
              <w:spacing w:after="0"/>
              <w:rPr>
                <w:sz w:val="20"/>
                <w:szCs w:val="20"/>
                <w:color w:val="auto"/>
              </w:rPr>
            </w:pPr>
            <w:r>
              <w:rPr>
                <w:rFonts w:ascii="Arial" w:cs="Arial" w:eastAsia="Arial" w:hAnsi="Arial"/>
                <w:sz w:val="11"/>
                <w:szCs w:val="11"/>
                <w:color w:val="auto"/>
              </w:rPr>
              <w:t>TOTAL</w:t>
            </w:r>
          </w:p>
        </w:tc>
        <w:tc>
          <w:tcPr>
            <w:tcW w:w="5680" w:type="dxa"/>
            <w:vAlign w:val="bottom"/>
          </w:tcPr>
          <w:p>
            <w:pPr>
              <w:spacing w:after="0"/>
              <w:rPr>
                <w:sz w:val="15"/>
                <w:szCs w:val="15"/>
                <w:color w:val="auto"/>
              </w:rPr>
            </w:pPr>
          </w:p>
        </w:tc>
        <w:tc>
          <w:tcPr>
            <w:tcW w:w="16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12,433,842,721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20" w:hanging="344"/>
        <w:spacing w:after="0"/>
        <w:tabs>
          <w:tab w:leader="none" w:pos="420" w:val="left"/>
        </w:tabs>
        <w:numPr>
          <w:ilvl w:val="0"/>
          <w:numId w:val="8"/>
        </w:numPr>
        <w:rPr>
          <w:rFonts w:ascii="Arial" w:cs="Arial" w:eastAsia="Arial" w:hAnsi="Arial"/>
          <w:sz w:val="11"/>
          <w:szCs w:val="11"/>
          <w:color w:val="auto"/>
        </w:rPr>
      </w:pPr>
      <w:r>
        <w:rPr>
          <w:rFonts w:ascii="Arial" w:cs="Arial" w:eastAsia="Arial" w:hAnsi="Arial"/>
          <w:sz w:val="11"/>
          <w:szCs w:val="11"/>
          <w:color w:val="auto"/>
        </w:rPr>
        <w:t>Party-in-interest</w:t>
      </w:r>
    </w:p>
    <w:p>
      <w:pPr>
        <w:spacing w:after="0" w:line="36" w:lineRule="exact"/>
        <w:rPr>
          <w:sz w:val="20"/>
          <w:szCs w:val="20"/>
          <w:color w:val="auto"/>
        </w:rPr>
      </w:pPr>
    </w:p>
    <w:p>
      <w:pPr>
        <w:ind w:left="420" w:hanging="344"/>
        <w:spacing w:after="0"/>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color w:val="auto"/>
        </w:rPr>
        <w:t>Cost information is not required for participant-directed accounts and, therefore, is not presented.</w:t>
      </w:r>
    </w:p>
    <w:p>
      <w:pPr>
        <w:spacing w:after="0" w:line="35" w:lineRule="exact"/>
        <w:rPr>
          <w:rFonts w:ascii="Arial" w:cs="Arial" w:eastAsia="Arial" w:hAnsi="Arial"/>
          <w:sz w:val="11"/>
          <w:szCs w:val="11"/>
          <w:color w:val="auto"/>
        </w:rPr>
      </w:pPr>
    </w:p>
    <w:p>
      <w:pPr>
        <w:ind w:left="420" w:hanging="344"/>
        <w:spacing w:after="0"/>
        <w:tabs>
          <w:tab w:leader="none" w:pos="420" w:val="left"/>
        </w:tabs>
        <w:numPr>
          <w:ilvl w:val="0"/>
          <w:numId w:val="10"/>
        </w:numPr>
        <w:rPr>
          <w:rFonts w:ascii="Arial" w:cs="Arial" w:eastAsia="Arial" w:hAnsi="Arial"/>
          <w:sz w:val="11"/>
          <w:szCs w:val="11"/>
          <w:color w:val="auto"/>
        </w:rPr>
      </w:pPr>
      <w:r>
        <w:rPr>
          <w:rFonts w:ascii="Arial" w:cs="Arial" w:eastAsia="Arial" w:hAnsi="Arial"/>
          <w:sz w:val="11"/>
          <w:szCs w:val="11"/>
          <w:color w:val="auto"/>
        </w:rPr>
        <w:t>Varying maturity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6" w:name="page17"/>
    <w:bookmarkEnd w:id="16"/>
    <w:p>
      <w:pPr>
        <w:spacing w:after="0" w:line="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00" w:lineRule="exact"/>
        <w:rPr>
          <w:sz w:val="20"/>
          <w:szCs w:val="20"/>
          <w:color w:val="auto"/>
        </w:rPr>
      </w:pPr>
    </w:p>
    <w:p>
      <w:pPr>
        <w:spacing w:after="0" w:line="2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2"/>
          <w:szCs w:val="22"/>
          <w:color w:val="auto"/>
        </w:rPr>
        <w:t>We consent to the incorporation by reference in the Registration Statement (Forms S-8 No. 333-262396 and 333-292109) pertaining to the Shell Provident Fund of Shell plc of our report dated June 26, 2026, with respect to the financial statements and schedule of the Shell plc’s Shell Provident Fund included in this Annual Report (Form 11-K) for the year ended December 31, 2025.</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Texas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17</w:t>
      </w:r>
    </w:p>
    <w:sectPr>
      <w:pgSz w:w="11900" w:h="16838" w:orient="portrait"/>
      <w:cols w:equalWidth="0" w:num="1">
        <w:col w:w="11140"/>
      </w:cols>
      <w:pgMar w:left="32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7"/>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8"/>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2026-06-26T10:50:41Z</dcterms:created>
  <dcterms:modified xsi:type="dcterms:W3CDTF">2026-06-26T10:50:41Z</dcterms:modified>
</cp:coreProperties>
</file>