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440d6k.htm"/>
      <w:bookmarkStart w:id="1" w:name="ksd3544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UNDER THE SECURITIES EXCHANGE ACT OF 1934</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1-32575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Shell plc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England and Wales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240" w:after="0"/>
        <w:jc w:val="center"/>
        <w:rPr>
          <w:rFonts w:ascii="Times New Roman" w:hAnsi="Times New Roman"/>
          <w:b/>
          <w:sz w:val="20"/>
        </w:rPr>
      </w:pPr>
      <w:r>
        <w:rPr>
          <w:rFonts w:ascii="Times New Roman" w:hAnsi="Times New Roman"/>
          <w:b/>
          <w:sz w:val="20"/>
        </w:rPr>
        <w:t xml:space="preserve">Shell Centre </w:t>
      </w:r>
    </w:p>
    <w:p>
      <w:pPr>
        <w:pStyle w:val="TextBody"/>
        <w:bidi w:val="0"/>
        <w:spacing w:before="0" w:after="0"/>
        <w:jc w:val="center"/>
        <w:rPr>
          <w:rFonts w:ascii="Times New Roman" w:hAnsi="Times New Roman"/>
          <w:b/>
          <w:sz w:val="20"/>
        </w:rPr>
      </w:pPr>
      <w:r>
        <w:rPr>
          <w:rFonts w:ascii="Times New Roman" w:hAnsi="Times New Roman"/>
          <w:b/>
          <w:sz w:val="20"/>
        </w:rPr>
        <w:t xml:space="preserve">London, SE1 7NA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Shell plc (the “registrant”) is filing the following exhibit on this Report on Form 6-K, which is hereby incorporated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5"/>
        <w:gridCol w:w="697"/>
        <w:gridCol w:w="8653"/>
      </w:tblGrid>
      <w:tr>
        <w:trPr/>
        <w:tc>
          <w:tcPr>
            <w:tcW w:w="855" w:type="dxa"/>
            <w:tcBorders/>
            <w:vAlign w:val="center"/>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8653" w:type="dxa"/>
            <w:tcBorders/>
            <w:vAlign w:val="center"/>
          </w:tcPr>
          <w:p>
            <w:pPr>
              <w:pStyle w:val="TableContents"/>
              <w:bidi w:val="0"/>
              <w:spacing w:before="0" w:after="283"/>
              <w:jc w:val="left"/>
              <w:rPr>
                <w:sz w:val="4"/>
                <w:szCs w:val="4"/>
              </w:rPr>
            </w:pPr>
            <w:r>
              <w:rPr>
                <w:sz w:val="4"/>
                <w:szCs w:val="4"/>
              </w:rPr>
            </w:r>
          </w:p>
        </w:tc>
      </w:tr>
      <w:tr>
        <w:trPr/>
        <w:tc>
          <w:tcPr>
            <w:tcW w:w="8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97" w:type="dxa"/>
            <w:tcBorders/>
            <w:vAlign w:val="bottom"/>
          </w:tcPr>
          <w:p>
            <w:pPr>
              <w:pStyle w:val="TableContents"/>
              <w:bidi w:val="0"/>
              <w:spacing w:before="0" w:after="283"/>
              <w:jc w:val="left"/>
              <w:rPr/>
            </w:pPr>
            <w:r>
              <w:rPr/>
              <w:t>  </w:t>
            </w:r>
          </w:p>
        </w:tc>
        <w:tc>
          <w:tcPr>
            <w:tcW w:w="865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5" w:type="dxa"/>
            <w:tcBorders/>
            <w:vAlign w:val="center"/>
          </w:tcPr>
          <w:p>
            <w:pPr>
              <w:pStyle w:val="TableContents"/>
              <w:bidi w:val="0"/>
              <w:spacing w:before="0" w:after="283"/>
              <w:jc w:val="left"/>
              <w:rPr>
                <w:sz w:val="4"/>
                <w:szCs w:val="4"/>
              </w:rPr>
            </w:pPr>
            <w:r>
              <w:rPr>
                <w:sz w:val="4"/>
                <w:szCs w:val="4"/>
              </w:rPr>
            </w:r>
          </w:p>
        </w:tc>
        <w:tc>
          <w:tcPr>
            <w:tcW w:w="9350" w:type="dxa"/>
            <w:gridSpan w:val="2"/>
            <w:tcBorders/>
            <w:vAlign w:val="center"/>
          </w:tcPr>
          <w:p>
            <w:pPr>
              <w:pStyle w:val="TableContents"/>
              <w:bidi w:val="0"/>
              <w:spacing w:before="0" w:after="283"/>
              <w:jc w:val="left"/>
              <w:rPr>
                <w:sz w:val="4"/>
                <w:szCs w:val="4"/>
              </w:rPr>
            </w:pPr>
            <w:r>
              <w:rPr>
                <w:sz w:val="4"/>
                <w:szCs w:val="4"/>
              </w:rPr>
            </w:r>
          </w:p>
        </w:tc>
      </w:tr>
      <w:tr>
        <w:trPr/>
        <w:tc>
          <w:tcPr>
            <w:tcW w:w="855" w:type="dxa"/>
            <w:tcBorders/>
          </w:tcPr>
          <w:p>
            <w:pPr>
              <w:pStyle w:val="TableContents"/>
              <w:bidi w:val="0"/>
              <w:spacing w:before="0" w:after="283"/>
              <w:jc w:val="left"/>
              <w:rPr/>
            </w:pPr>
            <w:r>
              <w:rPr/>
              <w:t>99.1</w:t>
            </w:r>
          </w:p>
        </w:tc>
        <w:tc>
          <w:tcPr>
            <w:tcW w:w="697" w:type="dxa"/>
            <w:tcBorders/>
            <w:vAlign w:val="bottom"/>
          </w:tcPr>
          <w:p>
            <w:pPr>
              <w:pStyle w:val="TableContents"/>
              <w:bidi w:val="0"/>
              <w:spacing w:before="0" w:after="283"/>
              <w:jc w:val="left"/>
              <w:rPr/>
            </w:pPr>
            <w:r>
              <w:rPr/>
              <w:t>  </w:t>
            </w:r>
          </w:p>
        </w:tc>
        <w:tc>
          <w:tcPr>
            <w:tcW w:w="8653" w:type="dxa"/>
            <w:tcBorders/>
          </w:tcPr>
          <w:p>
            <w:pPr>
              <w:pStyle w:val="TableContents"/>
              <w:bidi w:val="0"/>
              <w:spacing w:before="0" w:after="283"/>
              <w:jc w:val="left"/>
              <w:rPr/>
            </w:pPr>
            <w:hyperlink w:anchor="d35440dex991.htm">
              <w:r>
                <w:rPr>
                  <w:rStyle w:val="InternetLink"/>
                </w:rPr>
                <w:t xml:space="preserve">Shell plc Announces Final Results of Exchange Offers. </w:t>
              </w:r>
            </w:hyperlink>
          </w:p>
        </w:tc>
      </w:tr>
    </w:tbl>
    <w:p>
      <w:pPr>
        <w:pStyle w:val="TextBody"/>
        <w:bidi w:val="0"/>
        <w:spacing w:before="240" w:after="0"/>
        <w:jc w:val="left"/>
        <w:rPr>
          <w:rFonts w:ascii="Times New Roman" w:hAnsi="Times New Roman"/>
          <w:sz w:val="20"/>
        </w:rPr>
      </w:pPr>
      <w:r>
        <w:rPr>
          <w:rFonts w:ascii="Times New Roman" w:hAnsi="Times New Roman"/>
          <w:sz w:val="20"/>
        </w:rPr>
        <w:t xml:space="preserve">This Report on Form 6-K is incorporated by reference into: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on Form F-3 of Shell plc, Shell Finance US Inc. and Shell International Finance B.V. (Registration Numbers 333-276068, 333-276068-01 and 333-276068-02); and </w:t>
      </w:r>
    </w:p>
    <w:p>
      <w:pPr>
        <w:pStyle w:val="TextBody"/>
        <w:bidi w:val="0"/>
        <w:spacing w:before="120" w:after="0"/>
        <w:jc w:val="left"/>
        <w:rPr>
          <w:rFonts w:ascii="Times New Roman" w:hAnsi="Times New Roman"/>
          <w:sz w:val="20"/>
        </w:rPr>
      </w:pPr>
      <w:r>
        <w:rPr>
          <w:rFonts w:ascii="Times New Roman" w:hAnsi="Times New Roman"/>
          <w:sz w:val="20"/>
        </w:rPr>
        <w:t xml:space="preserve">(b) the Registration Statements on Form S-8 of Shell plc (Registration Numbers 333-262396, 333-272192 and 333-292109).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Karen Heslop</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Name: Karen Heslop</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Title: Deputy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July 9, 2026 </w:t>
      </w:r>
    </w:p>
    <w:p>
      <w:pPr>
        <w:pStyle w:val="TextBody"/>
        <w:bidi w:val="0"/>
        <w:spacing w:before="0" w:after="0"/>
        <w:jc w:val="right"/>
        <w:rPr>
          <w:rFonts w:ascii="Times New Roman" w:hAnsi="Times New Roman"/>
          <w:b/>
          <w:sz w:val="20"/>
        </w:rPr>
      </w:pPr>
      <w:bookmarkStart w:id="2" w:name="d35440dex991.htm"/>
      <w:bookmarkStart w:id="3" w:name="ksd35440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120" w:after="0"/>
        <w:jc w:val="left"/>
        <w:rPr>
          <w:rFonts w:ascii="Times New Roman" w:hAnsi="Times New Roman"/>
          <w:b/>
          <w:sz w:val="20"/>
        </w:rPr>
      </w:pPr>
      <w:r>
        <w:rPr>
          <w:rFonts w:ascii="Times New Roman" w:hAnsi="Times New Roman"/>
          <w:b/>
          <w:sz w:val="20"/>
        </w:rPr>
        <w:t xml:space="preserve">July 9, 2026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Shell plc Announces Final Results of Exchange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Offers </w:t>
      </w:r>
    </w:p>
    <w:p>
      <w:pPr>
        <w:pStyle w:val="TextBody"/>
        <w:bidi w:val="0"/>
        <w:spacing w:before="240" w:after="0"/>
        <w:jc w:val="left"/>
        <w:rPr>
          <w:rFonts w:ascii="Times New Roman" w:hAnsi="Times New Roman"/>
          <w:sz w:val="20"/>
        </w:rPr>
      </w:pPr>
      <w:r>
        <w:rPr>
          <w:rFonts w:ascii="Times New Roman" w:hAnsi="Times New Roman"/>
          <w:sz w:val="20"/>
        </w:rPr>
        <w:t xml:space="preserve">Shell plc (LSE: SHEL) (NYSE: SHEL) (AEX: SHELL) today announces the final results of its previously announced offers to exchange (the “Exchange Offers” and each, an “Exchange Offer”) any validly tendered (and not validly withdrawn) and accepted notes of certain series of outstanding unregistered notes issued by Shell Finance US Inc. (“Shell Finance US” or the “Issuer”) and fully and unconditionally guaranteed by Shell plc (such notes, the “Restricted Notes”) issued pursuant to an exemption from the registration requirements of the U.S. Securities Act of 1933, as amended (the “Securities Act”) for a like amount of new registered notes issued by Shell Finance US and fully and unconditionally guaranteed by Shell plc (the “Exchange Notes”), as described in the prospectus dated June 8, 2026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total aggregate principal amount of Restricted Notes that were validly tendered (and not validly withdrawn) and accepted for exchange in the Exchange Offers was $6,298,101,000, as set forth in the table below under the heading “Aggregate Principal Amount Tendered and Accepted.”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based on information provided by D.F. King &amp; Co., Inc., the exchange agent and information agent for the Exchange Offers, indicates, among other things, the aggregate principal amount of each series of Restricted Notes validly tendered (and not validly withdrawn) and accepted for exchange in the Exchange Offers. </w:t>
      </w:r>
    </w:p>
    <w:p>
      <w:pPr>
        <w:pStyle w:val="TextBody"/>
        <w:bidi w:val="0"/>
        <w:spacing w:before="0" w:after="0"/>
        <w:jc w:val="left"/>
        <w:rPr/>
      </w:pPr>
      <w:r>
        <w:rPr/>
        <w:t> </w:t>
      </w:r>
    </w:p>
    <w:tbl>
      <w:tblPr>
        <w:tblW w:w="11205" w:type="dxa"/>
        <w:jc w:val="center"/>
        <w:tblInd w:w="0" w:type="dxa"/>
        <w:tblLayout w:type="fixed"/>
        <w:tblCellMar>
          <w:top w:w="0" w:type="dxa"/>
          <w:left w:w="0" w:type="dxa"/>
          <w:bottom w:w="0" w:type="dxa"/>
          <w:right w:w="0" w:type="dxa"/>
        </w:tblCellMar>
      </w:tblPr>
      <w:tblGrid>
        <w:gridCol w:w="755"/>
        <w:gridCol w:w="120"/>
        <w:gridCol w:w="1820"/>
        <w:gridCol w:w="120"/>
        <w:gridCol w:w="198"/>
        <w:gridCol w:w="1982"/>
        <w:gridCol w:w="60"/>
        <w:gridCol w:w="120"/>
        <w:gridCol w:w="187"/>
        <w:gridCol w:w="1873"/>
        <w:gridCol w:w="60"/>
        <w:gridCol w:w="120"/>
        <w:gridCol w:w="1850"/>
        <w:gridCol w:w="120"/>
        <w:gridCol w:w="1820"/>
      </w:tblGrid>
      <w:tr>
        <w:trPr/>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Series of Restricted Notes</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Offered for Exchange</w:t>
            </w:r>
          </w:p>
        </w:tc>
        <w:tc>
          <w:tcPr>
            <w:tcW w:w="120"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CUSIP/ISIN No.</w:t>
            </w:r>
          </w:p>
        </w:tc>
        <w:tc>
          <w:tcPr>
            <w:tcW w:w="120" w:type="dxa"/>
            <w:tcBorders/>
            <w:vAlign w:val="bottom"/>
          </w:tcPr>
          <w:p>
            <w:pPr>
              <w:pStyle w:val="TableContents"/>
              <w:bidi w:val="0"/>
              <w:spacing w:before="0" w:after="283"/>
              <w:jc w:val="left"/>
              <w:rPr/>
            </w:pPr>
            <w:r>
              <w:rPr/>
              <w:t>  </w:t>
            </w:r>
          </w:p>
        </w:tc>
        <w:tc>
          <w:tcPr>
            <w:tcW w:w="2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Outstanding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Principal</w:t>
              <w:br/>
              <w:t>Amount Tendered</w:t>
              <w:br/>
              <w:t>and Accepted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5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Corresponding Exchange</w:t>
              <w:br/>
              <w:t>Notes</w:t>
            </w:r>
          </w:p>
          <w:p>
            <w:pPr>
              <w:pStyle w:val="TableContents"/>
              <w:bidi w:val="0"/>
              <w:spacing w:before="0" w:after="20"/>
              <w:jc w:val="center"/>
              <w:rPr>
                <w:rFonts w:ascii="Times New Roman" w:hAnsi="Times New Roman"/>
                <w:b/>
                <w:sz w:val="16"/>
              </w:rPr>
            </w:pPr>
            <w:r>
              <w:rPr>
                <w:rFonts w:ascii="Times New Roman" w:hAnsi="Times New Roman"/>
                <w:b/>
                <w:sz w:val="16"/>
              </w:rPr>
              <w:t>to be Issued</w:t>
            </w:r>
          </w:p>
        </w:tc>
        <w:tc>
          <w:tcPr>
            <w:tcW w:w="120"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CUSIP/ISIN No.</w:t>
            </w:r>
          </w:p>
        </w:tc>
      </w:tr>
      <w:tr>
        <w:trPr/>
        <w:tc>
          <w:tcPr>
            <w:tcW w:w="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3.875% Guaranteed Notes due 2028</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CUSIP U8209LAA0</w:t>
            </w:r>
          </w:p>
          <w:p>
            <w:pPr>
              <w:pStyle w:val="TableContents"/>
              <w:bidi w:val="0"/>
              <w:spacing w:before="0" w:after="0"/>
              <w:jc w:val="center"/>
              <w:rPr>
                <w:rFonts w:ascii="Times New Roman" w:hAnsi="Times New Roman"/>
                <w:sz w:val="20"/>
              </w:rPr>
            </w:pPr>
            <w:r>
              <w:rPr>
                <w:rFonts w:ascii="Times New Roman" w:hAnsi="Times New Roman"/>
                <w:sz w:val="20"/>
              </w:rPr>
              <w:t>ISIN USU8209LAA09</w:t>
            </w:r>
          </w:p>
          <w:p>
            <w:pPr>
              <w:pStyle w:val="TableContents"/>
              <w:bidi w:val="0"/>
              <w:spacing w:before="0" w:after="0"/>
              <w:jc w:val="center"/>
              <w:rPr>
                <w:rFonts w:ascii="Times New Roman" w:hAnsi="Times New Roman"/>
                <w:sz w:val="20"/>
              </w:rPr>
            </w:pPr>
            <w:r>
              <w:rPr>
                <w:rFonts w:ascii="Times New Roman" w:hAnsi="Times New Roman"/>
                <w:sz w:val="20"/>
              </w:rPr>
              <w:t>CUSIP 822905AR6</w:t>
            </w:r>
          </w:p>
          <w:p>
            <w:pPr>
              <w:pStyle w:val="TableContents"/>
              <w:bidi w:val="0"/>
              <w:spacing w:before="0" w:after="20"/>
              <w:jc w:val="center"/>
              <w:rPr>
                <w:rFonts w:ascii="Times New Roman" w:hAnsi="Times New Roman"/>
                <w:sz w:val="20"/>
              </w:rPr>
            </w:pPr>
            <w:r>
              <w:rPr>
                <w:rFonts w:ascii="Times New Roman" w:hAnsi="Times New Roman"/>
                <w:sz w:val="20"/>
              </w:rPr>
              <w:t>ISIN US822905AR69</w:t>
            </w:r>
          </w:p>
        </w:tc>
        <w:tc>
          <w:tcPr>
            <w:tcW w:w="12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982" w:type="dxa"/>
            <w:tcBorders/>
            <w:shd w:fill="CCEEFF" w:val="clear"/>
            <w:vAlign w:val="bottom"/>
          </w:tcPr>
          <w:p>
            <w:pPr>
              <w:pStyle w:val="TableContents"/>
              <w:bidi w:val="0"/>
              <w:spacing w:before="0" w:after="283"/>
              <w:jc w:val="right"/>
              <w:rPr/>
            </w:pPr>
            <w:r>
              <w:rPr/>
              <w:t>920,732,000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873" w:type="dxa"/>
            <w:tcBorders/>
            <w:shd w:fill="CCEEFF" w:val="clear"/>
            <w:vAlign w:val="bottom"/>
          </w:tcPr>
          <w:p>
            <w:pPr>
              <w:pStyle w:val="TableContents"/>
              <w:bidi w:val="0"/>
              <w:spacing w:before="0" w:after="283"/>
              <w:jc w:val="right"/>
              <w:rPr/>
            </w:pPr>
            <w:r>
              <w:rPr/>
              <w:t>885,241,000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$ 885,241,000</w:t>
            </w:r>
          </w:p>
          <w:p>
            <w:pPr>
              <w:pStyle w:val="TableContents"/>
              <w:bidi w:val="0"/>
              <w:spacing w:before="0" w:after="20"/>
              <w:jc w:val="center"/>
              <w:rPr>
                <w:rFonts w:ascii="Times New Roman" w:hAnsi="Times New Roman"/>
                <w:sz w:val="20"/>
              </w:rPr>
            </w:pPr>
            <w:r>
              <w:rPr>
                <w:rFonts w:ascii="Times New Roman" w:hAnsi="Times New Roman"/>
                <w:sz w:val="20"/>
              </w:rPr>
              <w:t>3.875% Guaranteed Notes due 2028</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CUSIP 822905AS4</w:t>
            </w:r>
          </w:p>
          <w:p>
            <w:pPr>
              <w:pStyle w:val="TableContents"/>
              <w:bidi w:val="0"/>
              <w:spacing w:before="0" w:after="20"/>
              <w:jc w:val="center"/>
              <w:rPr>
                <w:rFonts w:ascii="Times New Roman" w:hAnsi="Times New Roman"/>
                <w:sz w:val="20"/>
              </w:rPr>
            </w:pPr>
            <w:r>
              <w:rPr>
                <w:rFonts w:ascii="Times New Roman" w:hAnsi="Times New Roman"/>
                <w:sz w:val="20"/>
              </w:rPr>
              <w:t>ISIN US822905AS43</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6.375% Guaranteed Notes due 2038</w:t>
            </w:r>
          </w:p>
        </w:tc>
        <w:tc>
          <w:tcPr>
            <w:tcW w:w="12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CUSIP U8209LAB8</w:t>
            </w:r>
          </w:p>
          <w:p>
            <w:pPr>
              <w:pStyle w:val="TableContents"/>
              <w:bidi w:val="0"/>
              <w:spacing w:before="0" w:after="0"/>
              <w:jc w:val="center"/>
              <w:rPr>
                <w:rFonts w:ascii="Times New Roman" w:hAnsi="Times New Roman"/>
                <w:sz w:val="20"/>
              </w:rPr>
            </w:pPr>
            <w:r>
              <w:rPr>
                <w:rFonts w:ascii="Times New Roman" w:hAnsi="Times New Roman"/>
                <w:sz w:val="20"/>
              </w:rPr>
              <w:t>ISIN USU8209LAB81</w:t>
            </w:r>
          </w:p>
          <w:p>
            <w:pPr>
              <w:pStyle w:val="TableContents"/>
              <w:bidi w:val="0"/>
              <w:spacing w:before="0" w:after="0"/>
              <w:jc w:val="center"/>
              <w:rPr>
                <w:rFonts w:ascii="Times New Roman" w:hAnsi="Times New Roman"/>
                <w:sz w:val="20"/>
              </w:rPr>
            </w:pPr>
            <w:r>
              <w:rPr>
                <w:rFonts w:ascii="Times New Roman" w:hAnsi="Times New Roman"/>
                <w:sz w:val="20"/>
              </w:rPr>
              <w:t>CUSIP 822905AT2</w:t>
            </w:r>
          </w:p>
          <w:p>
            <w:pPr>
              <w:pStyle w:val="TableContents"/>
              <w:bidi w:val="0"/>
              <w:spacing w:before="0" w:after="20"/>
              <w:jc w:val="center"/>
              <w:rPr>
                <w:rFonts w:ascii="Times New Roman" w:hAnsi="Times New Roman"/>
                <w:sz w:val="20"/>
              </w:rPr>
            </w:pPr>
            <w:r>
              <w:rPr>
                <w:rFonts w:ascii="Times New Roman" w:hAnsi="Times New Roman"/>
                <w:sz w:val="20"/>
              </w:rPr>
              <w:t>ISIN US822905AT26</w:t>
            </w:r>
          </w:p>
        </w:tc>
        <w:tc>
          <w:tcPr>
            <w:tcW w:w="1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982" w:type="dxa"/>
            <w:tcBorders/>
            <w:vAlign w:val="bottom"/>
          </w:tcPr>
          <w:p>
            <w:pPr>
              <w:pStyle w:val="TableContents"/>
              <w:bidi w:val="0"/>
              <w:spacing w:before="0" w:after="283"/>
              <w:jc w:val="right"/>
              <w:rPr/>
            </w:pPr>
            <w:r>
              <w:rPr/>
              <w:t>2,063,148,000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873" w:type="dxa"/>
            <w:tcBorders/>
            <w:vAlign w:val="bottom"/>
          </w:tcPr>
          <w:p>
            <w:pPr>
              <w:pStyle w:val="TableContents"/>
              <w:bidi w:val="0"/>
              <w:spacing w:before="0" w:after="283"/>
              <w:jc w:val="right"/>
              <w:rPr/>
            </w:pPr>
            <w:r>
              <w:rPr/>
              <w:t>2,060,368,000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$ 2,060,368,000</w:t>
            </w:r>
          </w:p>
          <w:p>
            <w:pPr>
              <w:pStyle w:val="TableContents"/>
              <w:bidi w:val="0"/>
              <w:spacing w:before="0" w:after="20"/>
              <w:jc w:val="center"/>
              <w:rPr>
                <w:rFonts w:ascii="Times New Roman" w:hAnsi="Times New Roman"/>
                <w:sz w:val="20"/>
              </w:rPr>
            </w:pPr>
            <w:r>
              <w:rPr>
                <w:rFonts w:ascii="Times New Roman" w:hAnsi="Times New Roman"/>
                <w:sz w:val="20"/>
              </w:rPr>
              <w:t>6.375% Guaranteed Notes due 2038</w:t>
            </w:r>
          </w:p>
        </w:tc>
        <w:tc>
          <w:tcPr>
            <w:tcW w:w="12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CUSIP 822905AU9</w:t>
            </w:r>
          </w:p>
          <w:p>
            <w:pPr>
              <w:pStyle w:val="TableContents"/>
              <w:bidi w:val="0"/>
              <w:spacing w:before="0" w:after="20"/>
              <w:jc w:val="center"/>
              <w:rPr>
                <w:rFonts w:ascii="Times New Roman" w:hAnsi="Times New Roman"/>
                <w:sz w:val="20"/>
              </w:rPr>
            </w:pPr>
            <w:r>
              <w:rPr>
                <w:rFonts w:ascii="Times New Roman" w:hAnsi="Times New Roman"/>
                <w:sz w:val="20"/>
              </w:rPr>
              <w:t>ISIN US822905AU98</w:t>
            </w:r>
          </w:p>
        </w:tc>
      </w:tr>
      <w:tr>
        <w:trPr/>
        <w:tc>
          <w:tcPr>
            <w:tcW w:w="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5.500% Guaranteed Notes due 2040</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CUSIP U8209LAC6</w:t>
            </w:r>
          </w:p>
          <w:p>
            <w:pPr>
              <w:pStyle w:val="TableContents"/>
              <w:bidi w:val="0"/>
              <w:spacing w:before="0" w:after="0"/>
              <w:jc w:val="center"/>
              <w:rPr>
                <w:rFonts w:ascii="Times New Roman" w:hAnsi="Times New Roman"/>
                <w:sz w:val="20"/>
              </w:rPr>
            </w:pPr>
            <w:r>
              <w:rPr>
                <w:rFonts w:ascii="Times New Roman" w:hAnsi="Times New Roman"/>
                <w:sz w:val="20"/>
              </w:rPr>
              <w:t>ISIN USU8209LAC64</w:t>
            </w:r>
          </w:p>
          <w:p>
            <w:pPr>
              <w:pStyle w:val="TableContents"/>
              <w:bidi w:val="0"/>
              <w:spacing w:before="0" w:after="0"/>
              <w:jc w:val="center"/>
              <w:rPr>
                <w:rFonts w:ascii="Times New Roman" w:hAnsi="Times New Roman"/>
                <w:sz w:val="20"/>
              </w:rPr>
            </w:pPr>
            <w:r>
              <w:rPr>
                <w:rFonts w:ascii="Times New Roman" w:hAnsi="Times New Roman"/>
                <w:sz w:val="20"/>
              </w:rPr>
              <w:t>CUSIP 822905AV7</w:t>
            </w:r>
          </w:p>
          <w:p>
            <w:pPr>
              <w:pStyle w:val="TableContents"/>
              <w:bidi w:val="0"/>
              <w:spacing w:before="0" w:after="20"/>
              <w:jc w:val="center"/>
              <w:rPr>
                <w:rFonts w:ascii="Times New Roman" w:hAnsi="Times New Roman"/>
                <w:sz w:val="20"/>
              </w:rPr>
            </w:pPr>
            <w:r>
              <w:rPr>
                <w:rFonts w:ascii="Times New Roman" w:hAnsi="Times New Roman"/>
                <w:sz w:val="20"/>
              </w:rPr>
              <w:t>ISIN US822905AV71</w:t>
            </w:r>
          </w:p>
        </w:tc>
        <w:tc>
          <w:tcPr>
            <w:tcW w:w="12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982" w:type="dxa"/>
            <w:tcBorders/>
            <w:shd w:fill="CCEEFF" w:val="clear"/>
            <w:vAlign w:val="bottom"/>
          </w:tcPr>
          <w:p>
            <w:pPr>
              <w:pStyle w:val="TableContents"/>
              <w:bidi w:val="0"/>
              <w:spacing w:before="0" w:after="283"/>
              <w:jc w:val="right"/>
              <w:rPr/>
            </w:pPr>
            <w:r>
              <w:rPr/>
              <w:t>802,108,000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873" w:type="dxa"/>
            <w:tcBorders/>
            <w:shd w:fill="CCEEFF" w:val="clear"/>
            <w:vAlign w:val="bottom"/>
          </w:tcPr>
          <w:p>
            <w:pPr>
              <w:pStyle w:val="TableContents"/>
              <w:bidi w:val="0"/>
              <w:spacing w:before="0" w:after="283"/>
              <w:jc w:val="right"/>
              <w:rPr/>
            </w:pPr>
            <w:r>
              <w:rPr/>
              <w:t>801,303,000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$ 801,303,000</w:t>
            </w:r>
          </w:p>
          <w:p>
            <w:pPr>
              <w:pStyle w:val="TableContents"/>
              <w:bidi w:val="0"/>
              <w:spacing w:before="0" w:after="20"/>
              <w:jc w:val="center"/>
              <w:rPr>
                <w:rFonts w:ascii="Times New Roman" w:hAnsi="Times New Roman"/>
                <w:sz w:val="20"/>
              </w:rPr>
            </w:pPr>
            <w:r>
              <w:rPr>
                <w:rFonts w:ascii="Times New Roman" w:hAnsi="Times New Roman"/>
                <w:sz w:val="20"/>
              </w:rPr>
              <w:t>5.500% Guaranteed Notes due 2040</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CUSIP 822905AW5</w:t>
            </w:r>
          </w:p>
          <w:p>
            <w:pPr>
              <w:pStyle w:val="TableContents"/>
              <w:bidi w:val="0"/>
              <w:spacing w:before="0" w:after="20"/>
              <w:jc w:val="center"/>
              <w:rPr>
                <w:rFonts w:ascii="Times New Roman" w:hAnsi="Times New Roman"/>
                <w:sz w:val="20"/>
              </w:rPr>
            </w:pPr>
            <w:r>
              <w:rPr>
                <w:rFonts w:ascii="Times New Roman" w:hAnsi="Times New Roman"/>
                <w:sz w:val="20"/>
              </w:rPr>
              <w:t>ISIN US822905AW54</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5.125% Guaranteed Notes due 2041</w:t>
            </w:r>
          </w:p>
        </w:tc>
        <w:tc>
          <w:tcPr>
            <w:tcW w:w="12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CUSIP U8209LAD4</w:t>
            </w:r>
          </w:p>
          <w:p>
            <w:pPr>
              <w:pStyle w:val="TableContents"/>
              <w:bidi w:val="0"/>
              <w:spacing w:before="0" w:after="0"/>
              <w:jc w:val="center"/>
              <w:rPr>
                <w:rFonts w:ascii="Times New Roman" w:hAnsi="Times New Roman"/>
                <w:sz w:val="20"/>
              </w:rPr>
            </w:pPr>
            <w:r>
              <w:rPr>
                <w:rFonts w:ascii="Times New Roman" w:hAnsi="Times New Roman"/>
                <w:sz w:val="20"/>
              </w:rPr>
              <w:t>ISIN USU8209LAD48</w:t>
            </w:r>
          </w:p>
          <w:p>
            <w:pPr>
              <w:pStyle w:val="TableContents"/>
              <w:bidi w:val="0"/>
              <w:spacing w:before="0" w:after="0"/>
              <w:jc w:val="center"/>
              <w:rPr>
                <w:rFonts w:ascii="Times New Roman" w:hAnsi="Times New Roman"/>
                <w:sz w:val="20"/>
              </w:rPr>
            </w:pPr>
            <w:r>
              <w:rPr>
                <w:rFonts w:ascii="Times New Roman" w:hAnsi="Times New Roman"/>
                <w:sz w:val="20"/>
              </w:rPr>
              <w:t>CUSIP 822905AX3</w:t>
            </w:r>
          </w:p>
          <w:p>
            <w:pPr>
              <w:pStyle w:val="TableContents"/>
              <w:bidi w:val="0"/>
              <w:spacing w:before="0" w:after="20"/>
              <w:jc w:val="center"/>
              <w:rPr>
                <w:rFonts w:ascii="Times New Roman" w:hAnsi="Times New Roman"/>
                <w:sz w:val="20"/>
              </w:rPr>
            </w:pPr>
            <w:r>
              <w:rPr>
                <w:rFonts w:ascii="Times New Roman" w:hAnsi="Times New Roman"/>
                <w:sz w:val="20"/>
              </w:rPr>
              <w:t>ISIN US822905AX38</w:t>
            </w:r>
          </w:p>
        </w:tc>
        <w:tc>
          <w:tcPr>
            <w:tcW w:w="1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982" w:type="dxa"/>
            <w:tcBorders/>
            <w:vAlign w:val="bottom"/>
          </w:tcPr>
          <w:p>
            <w:pPr>
              <w:pStyle w:val="TableContents"/>
              <w:bidi w:val="0"/>
              <w:spacing w:before="0" w:after="283"/>
              <w:jc w:val="right"/>
              <w:rPr/>
            </w:pPr>
            <w:r>
              <w:rPr/>
              <w:t>691,199,000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873" w:type="dxa"/>
            <w:tcBorders/>
            <w:vAlign w:val="bottom"/>
          </w:tcPr>
          <w:p>
            <w:pPr>
              <w:pStyle w:val="TableContents"/>
              <w:bidi w:val="0"/>
              <w:spacing w:before="0" w:after="283"/>
              <w:jc w:val="right"/>
              <w:rPr/>
            </w:pPr>
            <w:r>
              <w:rPr/>
              <w:t>680,997,000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$ 680,997,000</w:t>
            </w:r>
          </w:p>
          <w:p>
            <w:pPr>
              <w:pStyle w:val="TableContents"/>
              <w:bidi w:val="0"/>
              <w:spacing w:before="0" w:after="20"/>
              <w:jc w:val="center"/>
              <w:rPr>
                <w:rFonts w:ascii="Times New Roman" w:hAnsi="Times New Roman"/>
                <w:sz w:val="20"/>
              </w:rPr>
            </w:pPr>
            <w:r>
              <w:rPr>
                <w:rFonts w:ascii="Times New Roman" w:hAnsi="Times New Roman"/>
                <w:sz w:val="20"/>
              </w:rPr>
              <w:t>5.125% Guaranteed Notes due 2041</w:t>
            </w:r>
          </w:p>
        </w:tc>
        <w:tc>
          <w:tcPr>
            <w:tcW w:w="12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CUSIP 822905AY1</w:t>
            </w:r>
          </w:p>
          <w:p>
            <w:pPr>
              <w:pStyle w:val="TableContents"/>
              <w:bidi w:val="0"/>
              <w:spacing w:before="0" w:after="20"/>
              <w:jc w:val="center"/>
              <w:rPr>
                <w:rFonts w:ascii="Times New Roman" w:hAnsi="Times New Roman"/>
                <w:sz w:val="20"/>
              </w:rPr>
            </w:pPr>
            <w:r>
              <w:rPr>
                <w:rFonts w:ascii="Times New Roman" w:hAnsi="Times New Roman"/>
                <w:sz w:val="20"/>
              </w:rPr>
              <w:t>ISIN US822905AY11</w:t>
            </w:r>
          </w:p>
        </w:tc>
      </w:tr>
      <w:tr>
        <w:trPr/>
        <w:tc>
          <w:tcPr>
            <w:tcW w:w="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3.125% Guaranteed Notes due 2049</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CUSIP U8209LAE2</w:t>
            </w:r>
          </w:p>
          <w:p>
            <w:pPr>
              <w:pStyle w:val="TableContents"/>
              <w:bidi w:val="0"/>
              <w:spacing w:before="0" w:after="0"/>
              <w:jc w:val="center"/>
              <w:rPr>
                <w:rFonts w:ascii="Times New Roman" w:hAnsi="Times New Roman"/>
                <w:sz w:val="20"/>
              </w:rPr>
            </w:pPr>
            <w:r>
              <w:rPr>
                <w:rFonts w:ascii="Times New Roman" w:hAnsi="Times New Roman"/>
                <w:sz w:val="20"/>
              </w:rPr>
              <w:t>ISIN USU8209LAE21</w:t>
            </w:r>
          </w:p>
          <w:p>
            <w:pPr>
              <w:pStyle w:val="TableContents"/>
              <w:bidi w:val="0"/>
              <w:spacing w:before="0" w:after="0"/>
              <w:jc w:val="center"/>
              <w:rPr>
                <w:rFonts w:ascii="Times New Roman" w:hAnsi="Times New Roman"/>
                <w:sz w:val="20"/>
              </w:rPr>
            </w:pPr>
            <w:r>
              <w:rPr>
                <w:rFonts w:ascii="Times New Roman" w:hAnsi="Times New Roman"/>
                <w:sz w:val="20"/>
              </w:rPr>
              <w:t>CUSIP 822905AZ8</w:t>
            </w:r>
          </w:p>
          <w:p>
            <w:pPr>
              <w:pStyle w:val="TableContents"/>
              <w:bidi w:val="0"/>
              <w:spacing w:before="0" w:after="20"/>
              <w:jc w:val="center"/>
              <w:rPr>
                <w:rFonts w:ascii="Times New Roman" w:hAnsi="Times New Roman"/>
                <w:sz w:val="20"/>
              </w:rPr>
            </w:pPr>
            <w:r>
              <w:rPr>
                <w:rFonts w:ascii="Times New Roman" w:hAnsi="Times New Roman"/>
                <w:sz w:val="20"/>
              </w:rPr>
              <w:t>ISIN US822905AZ85</w:t>
            </w:r>
          </w:p>
        </w:tc>
        <w:tc>
          <w:tcPr>
            <w:tcW w:w="12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982" w:type="dxa"/>
            <w:tcBorders/>
            <w:shd w:fill="CCEEFF" w:val="clear"/>
            <w:vAlign w:val="bottom"/>
          </w:tcPr>
          <w:p>
            <w:pPr>
              <w:pStyle w:val="TableContents"/>
              <w:bidi w:val="0"/>
              <w:spacing w:before="0" w:after="283"/>
              <w:jc w:val="right"/>
              <w:rPr/>
            </w:pPr>
            <w:r>
              <w:rPr/>
              <w:t>993,714,000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873" w:type="dxa"/>
            <w:tcBorders/>
            <w:shd w:fill="CCEEFF" w:val="clear"/>
            <w:vAlign w:val="bottom"/>
          </w:tcPr>
          <w:p>
            <w:pPr>
              <w:pStyle w:val="TableContents"/>
              <w:bidi w:val="0"/>
              <w:spacing w:before="0" w:after="283"/>
              <w:jc w:val="right"/>
              <w:rPr/>
            </w:pPr>
            <w:r>
              <w:rPr/>
              <w:t>993,464,000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85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$ 993,464,000</w:t>
            </w:r>
          </w:p>
          <w:p>
            <w:pPr>
              <w:pStyle w:val="TableContents"/>
              <w:bidi w:val="0"/>
              <w:spacing w:before="0" w:after="20"/>
              <w:jc w:val="center"/>
              <w:rPr>
                <w:rFonts w:ascii="Times New Roman" w:hAnsi="Times New Roman"/>
                <w:sz w:val="20"/>
              </w:rPr>
            </w:pPr>
            <w:r>
              <w:rPr>
                <w:rFonts w:ascii="Times New Roman" w:hAnsi="Times New Roman"/>
                <w:sz w:val="20"/>
              </w:rPr>
              <w:t>3.125% Guaranteed Notes due 2049</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CUSIP 822905BA2</w:t>
            </w:r>
          </w:p>
          <w:p>
            <w:pPr>
              <w:pStyle w:val="TableContents"/>
              <w:bidi w:val="0"/>
              <w:spacing w:before="0" w:after="20"/>
              <w:jc w:val="center"/>
              <w:rPr>
                <w:rFonts w:ascii="Times New Roman" w:hAnsi="Times New Roman"/>
                <w:sz w:val="20"/>
              </w:rPr>
            </w:pPr>
            <w:r>
              <w:rPr>
                <w:rFonts w:ascii="Times New Roman" w:hAnsi="Times New Roman"/>
                <w:sz w:val="20"/>
              </w:rPr>
              <w:t>ISIN US822905BA26</w:t>
            </w:r>
          </w:p>
        </w:tc>
      </w:tr>
      <w:tr>
        <w:trPr/>
        <w:tc>
          <w:tcPr>
            <w:tcW w:w="755" w:type="dxa"/>
            <w:tcBorders/>
          </w:tcPr>
          <w:p>
            <w:pPr>
              <w:pStyle w:val="TableContents"/>
              <w:bidi w:val="0"/>
              <w:spacing w:before="0" w:after="0"/>
              <w:jc w:val="left"/>
              <w:rPr>
                <w:rFonts w:ascii="Times New Roman" w:hAnsi="Times New Roman"/>
                <w:sz w:val="20"/>
              </w:rPr>
            </w:pPr>
            <w:r>
              <w:rPr>
                <w:rFonts w:ascii="Times New Roman" w:hAnsi="Times New Roman"/>
                <w:sz w:val="20"/>
              </w:rPr>
              <w:t>3.000% Guaranteed Notes due 2051</w:t>
            </w:r>
          </w:p>
        </w:tc>
        <w:tc>
          <w:tcPr>
            <w:tcW w:w="12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CUSIP U8209LAF9</w:t>
            </w:r>
          </w:p>
          <w:p>
            <w:pPr>
              <w:pStyle w:val="TableContents"/>
              <w:bidi w:val="0"/>
              <w:spacing w:before="0" w:after="0"/>
              <w:jc w:val="center"/>
              <w:rPr>
                <w:rFonts w:ascii="Times New Roman" w:hAnsi="Times New Roman"/>
                <w:sz w:val="20"/>
              </w:rPr>
            </w:pPr>
            <w:r>
              <w:rPr>
                <w:rFonts w:ascii="Times New Roman" w:hAnsi="Times New Roman"/>
                <w:sz w:val="20"/>
              </w:rPr>
              <w:t>ISIN USU8209LAF95</w:t>
            </w:r>
          </w:p>
          <w:p>
            <w:pPr>
              <w:pStyle w:val="TableContents"/>
              <w:bidi w:val="0"/>
              <w:spacing w:before="0" w:after="0"/>
              <w:jc w:val="center"/>
              <w:rPr>
                <w:rFonts w:ascii="Times New Roman" w:hAnsi="Times New Roman"/>
                <w:sz w:val="20"/>
              </w:rPr>
            </w:pPr>
            <w:r>
              <w:rPr>
                <w:rFonts w:ascii="Times New Roman" w:hAnsi="Times New Roman"/>
                <w:sz w:val="20"/>
              </w:rPr>
              <w:t>CUSIP 822905BB0</w:t>
            </w:r>
          </w:p>
          <w:p>
            <w:pPr>
              <w:pStyle w:val="TableContents"/>
              <w:bidi w:val="0"/>
              <w:spacing w:before="0" w:after="20"/>
              <w:jc w:val="center"/>
              <w:rPr>
                <w:rFonts w:ascii="Times New Roman" w:hAnsi="Times New Roman"/>
                <w:sz w:val="20"/>
              </w:rPr>
            </w:pPr>
            <w:r>
              <w:rPr>
                <w:rFonts w:ascii="Times New Roman" w:hAnsi="Times New Roman"/>
                <w:sz w:val="20"/>
              </w:rPr>
              <w:t>ISIN US822905BB09</w:t>
            </w:r>
          </w:p>
        </w:tc>
        <w:tc>
          <w:tcPr>
            <w:tcW w:w="12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982" w:type="dxa"/>
            <w:tcBorders/>
            <w:vAlign w:val="bottom"/>
          </w:tcPr>
          <w:p>
            <w:pPr>
              <w:pStyle w:val="TableContents"/>
              <w:bidi w:val="0"/>
              <w:spacing w:before="0" w:after="283"/>
              <w:jc w:val="right"/>
              <w:rPr/>
            </w:pPr>
            <w:r>
              <w:rPr/>
              <w:t>876,828,000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873" w:type="dxa"/>
            <w:tcBorders/>
            <w:vAlign w:val="bottom"/>
          </w:tcPr>
          <w:p>
            <w:pPr>
              <w:pStyle w:val="TableContents"/>
              <w:bidi w:val="0"/>
              <w:spacing w:before="0" w:after="283"/>
              <w:jc w:val="right"/>
              <w:rPr/>
            </w:pPr>
            <w:r>
              <w:rPr/>
              <w:t>876,728,000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5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$ 876,728,000</w:t>
            </w:r>
          </w:p>
          <w:p>
            <w:pPr>
              <w:pStyle w:val="TableContents"/>
              <w:bidi w:val="0"/>
              <w:spacing w:before="0" w:after="20"/>
              <w:jc w:val="center"/>
              <w:rPr>
                <w:rFonts w:ascii="Times New Roman" w:hAnsi="Times New Roman"/>
                <w:sz w:val="20"/>
              </w:rPr>
            </w:pPr>
            <w:r>
              <w:rPr>
                <w:rFonts w:ascii="Times New Roman" w:hAnsi="Times New Roman"/>
                <w:sz w:val="20"/>
              </w:rPr>
              <w:t>3.000% Guaranteed Notes due 2051</w:t>
            </w:r>
          </w:p>
        </w:tc>
        <w:tc>
          <w:tcPr>
            <w:tcW w:w="120" w:type="dxa"/>
            <w:tcBorders/>
            <w:vAlign w:val="bottom"/>
          </w:tcPr>
          <w:p>
            <w:pPr>
              <w:pStyle w:val="TableContents"/>
              <w:bidi w:val="0"/>
              <w:spacing w:before="0" w:after="283"/>
              <w:jc w:val="left"/>
              <w:rPr/>
            </w:pPr>
            <w:r>
              <w:rPr/>
              <w:t>  </w:t>
            </w:r>
          </w:p>
        </w:tc>
        <w:tc>
          <w:tcPr>
            <w:tcW w:w="182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CUSIP 822905BC8</w:t>
            </w:r>
          </w:p>
          <w:p>
            <w:pPr>
              <w:pStyle w:val="TableContents"/>
              <w:bidi w:val="0"/>
              <w:spacing w:before="0" w:after="20"/>
              <w:jc w:val="center"/>
              <w:rPr>
                <w:rFonts w:ascii="Times New Roman" w:hAnsi="Times New Roman"/>
                <w:sz w:val="20"/>
              </w:rPr>
            </w:pPr>
            <w:r>
              <w:rPr>
                <w:rFonts w:ascii="Times New Roman" w:hAnsi="Times New Roman"/>
                <w:sz w:val="20"/>
              </w:rPr>
              <w:t>ISIN US822905BC81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Settlement and issuance of the Exchange Notes to be issued in exchange for Restricted Notes validly tendered (and not validly withdrawn) and accepted for exchange is expected to occur on July 13, 2026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The exchange agent and information agent in connection with the Exchange Offers was: </w:t>
      </w:r>
    </w:p>
    <w:p>
      <w:pPr>
        <w:pStyle w:val="TextBody"/>
        <w:bidi w:val="0"/>
        <w:spacing w:before="480" w:after="0"/>
        <w:jc w:val="center"/>
        <w:rPr>
          <w:rFonts w:ascii="Times New Roman" w:hAnsi="Times New Roman"/>
          <w:b/>
          <w:sz w:val="20"/>
        </w:rPr>
      </w:pPr>
      <w:r>
        <w:rPr>
          <w:rFonts w:ascii="Times New Roman" w:hAnsi="Times New Roman"/>
          <w:b/>
          <w:sz w:val="20"/>
        </w:rPr>
        <w:t xml:space="preserve">D.F. King &amp; Co., Inc. </w:t>
      </w:r>
    </w:p>
    <w:p>
      <w:pPr>
        <w:pStyle w:val="TextBody"/>
        <w:bidi w:val="0"/>
        <w:spacing w:before="120" w:after="0"/>
        <w:jc w:val="center"/>
        <w:rPr>
          <w:rFonts w:ascii="Times New Roman" w:hAnsi="Times New Roman"/>
          <w:sz w:val="20"/>
        </w:rPr>
      </w:pPr>
      <w:r>
        <w:rPr>
          <w:rFonts w:ascii="Times New Roman" w:hAnsi="Times New Roman"/>
          <w:sz w:val="20"/>
        </w:rPr>
        <w:t xml:space="preserve">Banks and Brokers call: +1 (646) 845-0144 </w:t>
      </w:r>
    </w:p>
    <w:p>
      <w:pPr>
        <w:pStyle w:val="TextBody"/>
        <w:bidi w:val="0"/>
        <w:spacing w:before="0" w:after="0"/>
        <w:jc w:val="center"/>
        <w:rPr>
          <w:rFonts w:ascii="Times New Roman" w:hAnsi="Times New Roman"/>
          <w:sz w:val="20"/>
        </w:rPr>
      </w:pPr>
      <w:r>
        <w:rPr>
          <w:rFonts w:ascii="Times New Roman" w:hAnsi="Times New Roman"/>
          <w:sz w:val="20"/>
        </w:rPr>
        <w:t xml:space="preserve">Toll-free (U.S. only): +1 (800) 488-8075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Shell@dfking.com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By Facsimile (for eligible institutions only): </w:t>
      </w:r>
    </w:p>
    <w:p>
      <w:pPr>
        <w:pStyle w:val="TextBody"/>
        <w:bidi w:val="0"/>
        <w:spacing w:before="0" w:after="0"/>
        <w:jc w:val="center"/>
        <w:rPr>
          <w:rFonts w:ascii="Times New Roman" w:hAnsi="Times New Roman"/>
          <w:sz w:val="20"/>
        </w:rPr>
      </w:pPr>
      <w:r>
        <w:rPr>
          <w:rFonts w:ascii="Times New Roman" w:hAnsi="Times New Roman"/>
          <w:sz w:val="20"/>
        </w:rPr>
        <w:t xml:space="preserve">+1 (212) 709-3328 </w:t>
      </w:r>
    </w:p>
    <w:p>
      <w:pPr>
        <w:pStyle w:val="TextBody"/>
        <w:bidi w:val="0"/>
        <w:spacing w:before="0" w:after="0"/>
        <w:jc w:val="center"/>
        <w:rPr>
          <w:rFonts w:ascii="Times New Roman" w:hAnsi="Times New Roman"/>
          <w:sz w:val="20"/>
        </w:rPr>
      </w:pPr>
      <w:r>
        <w:rPr>
          <w:rFonts w:ascii="Times New Roman" w:hAnsi="Times New Roman"/>
          <w:sz w:val="20"/>
        </w:rPr>
        <w:t xml:space="preserve">Confirmation: +1 (212) 232-3233 </w:t>
      </w:r>
    </w:p>
    <w:p>
      <w:pPr>
        <w:pStyle w:val="TextBody"/>
        <w:bidi w:val="0"/>
        <w:spacing w:before="0" w:after="0"/>
        <w:jc w:val="center"/>
        <w:rPr>
          <w:rFonts w:ascii="Times New Roman" w:hAnsi="Times New Roman"/>
          <w:sz w:val="20"/>
        </w:rPr>
      </w:pPr>
      <w:r>
        <w:rPr>
          <w:rFonts w:ascii="Times New Roman" w:hAnsi="Times New Roman"/>
          <w:sz w:val="20"/>
        </w:rPr>
        <w:t xml:space="preserve">Attention: Michael Horthman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not an offer to sell or a solicitation of an offer to buy any of the securities described herein nor will there be any sale of these securities in any state or other jurisdiction in which such offer, solicitation or sale would be unlawful. The Exchange Offers were made solely pursuant to the terms and conditions of the Prospectus.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Non-U.S. Distribution Restrictions </w:t>
      </w:r>
    </w:p>
    <w:p>
      <w:pPr>
        <w:pStyle w:val="TextBody"/>
        <w:bidi w:val="0"/>
        <w:spacing w:before="24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Exchange Notes or otherwise making them available to retail investors in the EEA has been prepared and therefore offering or selling the Exchange Notes or otherwise making them available to any retail investor in the EEA may be unlawful under the PRIIPs Regulation. The Prospectus has been prepared on the basis that any offer of Exchange Notes in any Member State of the EEA will be made pursuant to an exemption under the Prospectus Regulation from the requirement to publish a prospectus for offers of Exchange Notes. The Prospectus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Belgium </w:t>
      </w:r>
    </w:p>
    <w:p>
      <w:pPr>
        <w:pStyle w:val="TextBody"/>
        <w:bidi w:val="0"/>
        <w:spacing w:before="120" w:after="0"/>
        <w:jc w:val="left"/>
        <w:rPr>
          <w:rFonts w:ascii="Times New Roman" w:hAnsi="Times New Roman"/>
          <w:sz w:val="20"/>
        </w:rPr>
      </w:pPr>
      <w:r>
        <w:rPr>
          <w:rFonts w:ascii="Times New Roman" w:hAnsi="Times New Roman"/>
          <w:sz w:val="20"/>
        </w:rPr>
        <w:t>Neither the Prospectus nor any other documents or materials relating to the Exchange Offers have been submitted to or will be submitted for approval or recognition to the Belgian Financial Services and Markets Authority (“</w:t>
      </w:r>
      <w:r>
        <w:rPr>
          <w:rFonts w:ascii="Times New Roman" w:hAnsi="Times New Roman"/>
          <w:i/>
          <w:sz w:val="20"/>
        </w:rPr>
        <w:t>Autorité des services et marchés financiers”/”Autoriteit voor Financiële Diensten en Markten</w:t>
      </w:r>
      <w:r>
        <w:rPr>
          <w:rFonts w:ascii="Times New Roman" w:hAnsi="Times New Roman"/>
          <w:sz w:val="20"/>
        </w:rPr>
        <w:t>”). The Exchange Offers are not being, and may not be, made in Belgium by way of a public offering, as defined in Articles 3, §1, 1° and 6, §1 of the Belgian Law of April 1, 2007 on public takeover bids (“</w:t>
      </w:r>
      <w:r>
        <w:rPr>
          <w:rFonts w:ascii="Times New Roman" w:hAnsi="Times New Roman"/>
          <w:i/>
          <w:sz w:val="20"/>
        </w:rPr>
        <w:t>loi relative aux offres publiques d’acquisition”/”wet op de openbare overnamebiedingen</w:t>
      </w:r>
      <w:r>
        <w:rPr>
          <w:rFonts w:ascii="Times New Roman" w:hAnsi="Times New Roman"/>
          <w:sz w:val="20"/>
        </w:rPr>
        <w:t xml:space="preserve">”) (the “Belgian Takeover Law”) or as defined in Article 3, §1 of the Belgian Law of June 16, 2006 on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offer of investment instruments and the admission to trading of investment instruments on a regulated market (“</w:t>
      </w:r>
      <w:r>
        <w:rPr>
          <w:rFonts w:ascii="Times New Roman" w:hAnsi="Times New Roman"/>
          <w:i/>
          <w:sz w:val="20"/>
        </w:rPr>
        <w:t>loi relative aux offres publiques d’instruments de placement et aux admissions d’instruments de placement à la négociation sur des marchés réglementés”/”wet op de openbare aanbieding van beleggingsinstrumenten en de toelating van beleggingsinstrumenten tot de verhandeling op een gereglementeerde markt</w:t>
      </w:r>
      <w:r>
        <w:rPr>
          <w:rFonts w:ascii="Times New Roman" w:hAnsi="Times New Roman"/>
          <w:sz w:val="20"/>
        </w:rPr>
        <w:t>”) (the “Belgian Prospectus Law”), both as amended or replaced from time to time. Accordingly, the Exchange Offers may not be, and are not being, advertised and the Exchange Offers will not be extended, and neither the Prospectus nor any other documents or materials relating to the Exchange Offers (including any memorandum, information circular, brochure or any similar documents) has been or shall be distributed or made available, directly or indirectly, to any person in Belgium other than (i) to persons which are “qualified investors” (“</w:t>
      </w:r>
      <w:r>
        <w:rPr>
          <w:rFonts w:ascii="Times New Roman" w:hAnsi="Times New Roman"/>
          <w:i/>
          <w:sz w:val="20"/>
        </w:rPr>
        <w:t>investisseurs qualifiés”/”gekwalificeerde beleggers</w:t>
      </w:r>
      <w:r>
        <w:rPr>
          <w:rFonts w:ascii="Times New Roman" w:hAnsi="Times New Roman"/>
          <w:sz w:val="20"/>
        </w:rPr>
        <w:t xml:space="preserve">”) as defined in Article 10, §1 of the Belgian Prospectus Law, acting on their own account, as referred to in Article 6, §3 of the Belgian Takeover Law or (ii) in any other circumstances set out in Article 6, §4 of the Belgian Takeover Law and Article 3, §4 of the Belgian Prospectus Law. The Prospectus has been issued only for the personal use of the above qualified investors and exclusively for the purpose of the Exchange Offers. Accordingly, the information contained in the Prospectus or in any other documents or materials relating to the Exchange Offers may not be used for any other purpose or disclosed or distributed to any other person in Belgium. </w:t>
      </w:r>
    </w:p>
    <w:p>
      <w:pPr>
        <w:pStyle w:val="TextBody"/>
        <w:bidi w:val="0"/>
        <w:spacing w:before="360" w:after="0"/>
        <w:jc w:val="left"/>
        <w:rPr>
          <w:rFonts w:ascii="Times New Roman" w:hAnsi="Times New Roman"/>
          <w:b/>
          <w:sz w:val="20"/>
        </w:rPr>
      </w:pPr>
      <w:r>
        <w:rPr>
          <w:rFonts w:ascii="Times New Roman" w:hAnsi="Times New Roman"/>
          <w:b/>
          <w:sz w:val="20"/>
        </w:rPr>
        <w:t xml:space="preserve">France </w:t>
      </w:r>
    </w:p>
    <w:p>
      <w:pPr>
        <w:pStyle w:val="TextBody"/>
        <w:bidi w:val="0"/>
        <w:spacing w:before="120" w:after="0"/>
        <w:jc w:val="left"/>
        <w:rPr>
          <w:rFonts w:ascii="Times New Roman" w:hAnsi="Times New Roman"/>
          <w:sz w:val="20"/>
        </w:rPr>
      </w:pPr>
      <w:r>
        <w:rPr>
          <w:rFonts w:ascii="Times New Roman" w:hAnsi="Times New Roman"/>
          <w:sz w:val="20"/>
        </w:rPr>
        <w:t>The Exchange Offers are not being made, directly or indirectly, to the public in the Republic of France. Neither the Prospectus nor any other documents or materials relating to the Exchange Offers have been or shall be distributed to the public in France and only (i) providers of investment services relating to portfolio management for the account of third parties (“</w:t>
      </w:r>
      <w:r>
        <w:rPr>
          <w:rFonts w:ascii="Times New Roman" w:hAnsi="Times New Roman"/>
          <w:i/>
          <w:sz w:val="20"/>
        </w:rPr>
        <w:t>personnes fournissant le service d’investissement de gestion de portefeuille pour compte de tiers”</w:t>
      </w:r>
      <w:r>
        <w:rPr>
          <w:rFonts w:ascii="Times New Roman" w:hAnsi="Times New Roman"/>
          <w:sz w:val="20"/>
        </w:rPr>
        <w:t>) and/or (ii) qualified investors (“</w:t>
      </w:r>
      <w:r>
        <w:rPr>
          <w:rFonts w:ascii="Times New Roman" w:hAnsi="Times New Roman"/>
          <w:i/>
          <w:sz w:val="20"/>
        </w:rPr>
        <w:t>investisseurs qualifiés”</w:t>
      </w:r>
      <w:r>
        <w:rPr>
          <w:rFonts w:ascii="Times New Roman" w:hAnsi="Times New Roman"/>
          <w:sz w:val="20"/>
        </w:rPr>
        <w:t xml:space="preserve">) other than individuals, in each case acting on their own account and all as defined in, and in accordance with, Articles L.411-1, L.411-2, D.321-1 and D.411-1 of the French </w:t>
      </w:r>
      <w:r>
        <w:rPr>
          <w:rFonts w:ascii="Times New Roman" w:hAnsi="Times New Roman"/>
          <w:i/>
          <w:sz w:val="20"/>
        </w:rPr>
        <w:t>Code Monétaire et Financier</w:t>
      </w:r>
      <w:r>
        <w:rPr>
          <w:rFonts w:ascii="Times New Roman" w:hAnsi="Times New Roman"/>
          <w:sz w:val="20"/>
        </w:rPr>
        <w:t xml:space="preserve">, are eligible to participate in the Exchange Offers. The Prospectus and any other document or material relating to the Exchange Offers have not been and will not be submitted for clearance to nor approved by the </w:t>
      </w:r>
      <w:r>
        <w:rPr>
          <w:rFonts w:ascii="Times New Roman" w:hAnsi="Times New Roman"/>
          <w:i/>
          <w:sz w:val="20"/>
        </w:rPr>
        <w:t>Autorité des marchés financiers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Italy </w:t>
      </w:r>
    </w:p>
    <w:p>
      <w:pPr>
        <w:pStyle w:val="TextBody"/>
        <w:bidi w:val="0"/>
        <w:spacing w:before="120" w:after="0"/>
        <w:jc w:val="left"/>
        <w:rPr>
          <w:rFonts w:ascii="Times New Roman" w:hAnsi="Times New Roman"/>
          <w:sz w:val="20"/>
        </w:rPr>
      </w:pPr>
      <w:r>
        <w:rPr>
          <w:rFonts w:ascii="Times New Roman" w:hAnsi="Times New Roman"/>
          <w:sz w:val="20"/>
        </w:rPr>
        <w:t xml:space="preserve">None of the Exchange Offers, the Prospectus or any other documents or materials relating to the Exchange Offers or the Exchange Notes have been or will be submitted to the clearance procedure of the </w:t>
      </w:r>
      <w:r>
        <w:rPr>
          <w:rFonts w:ascii="Times New Roman" w:hAnsi="Times New Roman"/>
          <w:i/>
          <w:sz w:val="20"/>
        </w:rPr>
        <w:t>Commissione Nazionale per le Società e la Borsa</w:t>
      </w:r>
      <w:r>
        <w:rPr>
          <w:rFonts w:ascii="Times New Roman" w:hAnsi="Times New Roman"/>
          <w:sz w:val="20"/>
        </w:rPr>
        <w:t xml:space="preserve"> (“CONSOB”). The Exchange Offers are being carried out in the Republic of Italy as exempted offers pursuant to article 101-</w:t>
      </w:r>
      <w:r>
        <w:rPr>
          <w:rFonts w:ascii="Times New Roman" w:hAnsi="Times New Roman"/>
          <w:i/>
          <w:sz w:val="20"/>
        </w:rPr>
        <w:t>bis</w:t>
      </w:r>
      <w:r>
        <w:rPr>
          <w:rFonts w:ascii="Times New Roman" w:hAnsi="Times New Roman"/>
          <w:sz w:val="20"/>
        </w:rPr>
        <w:t>, paragraph 3-</w:t>
      </w:r>
      <w:r>
        <w:rPr>
          <w:rFonts w:ascii="Times New Roman" w:hAnsi="Times New Roman"/>
          <w:i/>
          <w:sz w:val="20"/>
        </w:rPr>
        <w:t>bis</w:t>
      </w:r>
      <w:r>
        <w:rPr>
          <w:rFonts w:ascii="Times New Roman" w:hAnsi="Times New Roman"/>
          <w:sz w:val="20"/>
        </w:rPr>
        <w:t xml:space="preserve"> of the Legislative Decree No. 58 of 24 February 1998, as amended (the “Financial Services Act”) and article 35-</w:t>
      </w:r>
      <w:r>
        <w:rPr>
          <w:rFonts w:ascii="Times New Roman" w:hAnsi="Times New Roman"/>
          <w:i/>
          <w:sz w:val="20"/>
        </w:rPr>
        <w:t>bis</w:t>
      </w:r>
      <w:r>
        <w:rPr>
          <w:rFonts w:ascii="Times New Roman" w:hAnsi="Times New Roman"/>
          <w:sz w:val="20"/>
        </w:rPr>
        <w:t>, paragraph 3, of CONSOB Regulation No. 11971 of 14 May 1999, as amended (the “Issuers’ Regulation”) and, therefore, are intended for, and directed only at, qualified investors (</w:t>
      </w:r>
      <w:r>
        <w:rPr>
          <w:rFonts w:ascii="Times New Roman" w:hAnsi="Times New Roman"/>
          <w:i/>
          <w:sz w:val="20"/>
        </w:rPr>
        <w:t>investitori qualificati</w:t>
      </w:r>
      <w:r>
        <w:rPr>
          <w:rFonts w:ascii="Times New Roman" w:hAnsi="Times New Roman"/>
          <w:sz w:val="20"/>
        </w:rPr>
        <w:t>) (the “Italian Qualified Investors”), as defined pursuant to Article 100, paragraph 1, letter (a) of the Financial Services Act and Article 34-</w:t>
      </w:r>
      <w:r>
        <w:rPr>
          <w:rFonts w:ascii="Times New Roman" w:hAnsi="Times New Roman"/>
          <w:i/>
          <w:sz w:val="20"/>
        </w:rPr>
        <w:t>ter</w:t>
      </w:r>
      <w:r>
        <w:rPr>
          <w:rFonts w:ascii="Times New Roman" w:hAnsi="Times New Roman"/>
          <w:sz w:val="20"/>
        </w:rPr>
        <w:t xml:space="preserve">, paragraph 1, letter (b) of the Issuers’ Regulation. Accordingly, the Exchange Offers cannot be promoted, nor may copies of any document related thereto or to the Exchange Notes be distributed, mailed or otherwise forwarded, or sent, to the public in Italy, whether by mail or by any means or other instrument (including, without limitation, telephonically or electronically) or any facility of a national securities exchange available in Italy, other than to Italian Qualified Investors. Persons receiving the Prospectus must not forward, distribute or send it in or into or from Italy. Noteholders or beneficial owners of the Restricted Notes that are resident or located in Italy can offer to exchange the notes pursuant to the Exchange Offers through authorized persons (such as investment firms, banks or financial intermediaries permitted to conduct such activities in Italy in accordance with the Financial Services Act, CONSOB Regulation No. 16190 of 29 October 2007,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amended from time to time, and Legislative Decree No. 385 of 1 September 1993, as amended) and in compliance with applicable laws and regulations or with requirements imposed by CONSOB or any other Italian authority. Each intermediary must comply with the applicable laws and regulations concerning information duties vis-à-vis its clients in connection with the Restricted Notes, the Exchange Notes, the Exchange Offers or the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Consequently no disclosure document required by the FCA Product Disclosure Sourcebook (“DISC”) for offering, selling or distributing the Exchange Notes or otherwise making them available to retail investors in the UK has been prepared and therefore offering or, selling or distributing the Exchange Notes or otherwise making them available to any retail investor in the UK may be unlawful under the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is only being distributed to and is only directed at (i) persons who are outside the U.K. or (ii) investment professionals falling within Article 19(5)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The Exchange Notes are only available to, and any invitation, offer or agreement to subscribe, purchase or otherwise acquire the Exchange Notes will be engaged in only with, relevant persons. Any person who is not a relevant person should not act or rely on this document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Exchange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have not been and will not be registered under the Financial Instruments and Exchange Law of Japan (the “Financial Instruments and Exchange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has not been registered as a prospectus with the Monetary Authority of Singapore. Accordingly, and if the Issuer has not notified the dealer(s) on the classification of the Exchange Notes under and pursuant to Section 309(B)(1) of the Securities and Futures Act, Chapter 289 Singapore (the “SFA”), the Prospectus and any other document or 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under Section 274 of Chapter 289 of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Exchange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Exchange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Issuer has determined, and hereby notifies all relevant persons (as defined in Section 309A of the SFA) that the Exchange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240" w:after="0"/>
        <w:jc w:val="left"/>
        <w:rPr>
          <w:rFonts w:ascii="Times New Roman" w:hAnsi="Times New Roman"/>
          <w:sz w:val="20"/>
        </w:rPr>
      </w:pPr>
      <w:r>
        <w:rPr>
          <w:rFonts w:ascii="Times New Roman" w:hAnsi="Times New Roman"/>
          <w:sz w:val="20"/>
        </w:rPr>
        <w:t xml:space="preserve">Media: International +44 (0) 207 934 5550; USA +1 832 337 4355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Cautionary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companies in which Shell plc directly and indirectly owns investments are separate legal entities. In this press release, “Shell” refers to Shell plc; “Shell Group” refers to Shell and its subsidiaries; “Shell Finance US” or “Issuer” refers to Shell Finance US Inc.; the terms “we,” “us,” and “our” refer to Shell or the Shell Group,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forward-looking statements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the Shell Group to market risks and statements expressing management’s expectations, beliefs, estimates, forecasts, projections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the Shell Group and could cause those results to differ materially from those expressed in the forward-looking statements included or incorporated by reference in this press release,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fluctuations in crude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demand for the Shell Group’s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drilling and production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market share and industry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and physical risks, including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identification of suitable potential acquisition properties and targets, and successful negotiation and completion of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doing business in developing countries and countries subject to international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judicial, fiscal and regulatory developments including tariffs and regulatory measures addressing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and financial market conditions in various countries and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including the risks of expropriation and renegotiation of the terms of contracts with governmental entities, delays or advancements in the approval of projects and delays in the reimbursement for shared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impact of pandemics, regional conflicts, such as the Russia-Ukraine war, and the conflict in the Middle East, and a significant cyber security, data privacy or IT incident;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pace of the energy transition;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trading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is provided that future dividend payments will match or exceed previous dividend payments. All forward-looking statements contained in this press release are expressly qualified in their entirety by the cautionary statements contained or referred to in this section. Readers should not place undue reliance on forward-looking statements. Additional risk factors that may affect future results are contained in Shell’s Form 20-F for the year ended December 31, 2025 (available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www.shell.com/investors/news-and-filings/sec-filings.html and www.sec.gov). These risk factors also expressly qualify all forward-looking statements contained in this press release and should be considered by the reader. Each forward-looking statement speaks only as of the date of this press release, 9 July 2026. Neither Shell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The contents of websites referred to in this press release do not form part of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Readers are urged to consider closely the disclosure in our Form 20-F, File No 001-32575, available on the SEC website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3593</Words>
  <Characters>19685</Characters>
  <CharactersWithSpaces>23331</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