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0726.htm"/>
      <w:bookmarkStart w:id="1" w:name="ksf6k_0707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July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spacing w:before="0" w:after="0"/>
        <w:jc w:val="center"/>
        <w:rPr>
          <w:b/>
        </w:rPr>
      </w:pPr>
      <w:r>
        <w:rPr>
          <w:b/>
        </w:rPr>
        <w:t>Shell second quarter 2026 update note</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The following is an update to the second quarter 2026 outlook and gives an overview of our current expectations for the second quarter. Outlooks presented may vary from the actual second quarter 2026 results and are subject to finalisation of those results, which are scheduled to be published on July 30, 2026. Unless otherwise indicated, all outlook statements exclude identified items.</w:t>
      </w:r>
    </w:p>
    <w:p>
      <w:pPr>
        <w:pStyle w:val="TextBody"/>
        <w:bidi w:val="0"/>
        <w:spacing w:before="0" w:after="0"/>
        <w:jc w:val="left"/>
        <w:rPr/>
      </w:pPr>
      <w:r>
        <w:rPr/>
        <w:t> </w:t>
      </w:r>
    </w:p>
    <w:p>
      <w:pPr>
        <w:pStyle w:val="TextBody"/>
        <w:bidi w:val="0"/>
        <w:spacing w:before="0" w:after="0"/>
        <w:jc w:val="left"/>
        <w:rPr/>
      </w:pPr>
      <w:r>
        <w:rPr/>
        <w:t>See appendix for the definition of the non-GAAP measure used, the reconciliation from GAAP to non-GAAP and the most comparable GAAP measure.</w:t>
      </w:r>
    </w:p>
    <w:p>
      <w:pPr>
        <w:pStyle w:val="TextBody"/>
        <w:bidi w:val="0"/>
        <w:spacing w:before="0" w:after="0"/>
        <w:jc w:val="left"/>
        <w:rPr/>
      </w:pPr>
      <w:r>
        <w:rPr/>
        <w:t> </w:t>
      </w:r>
    </w:p>
    <w:p>
      <w:pPr>
        <w:pStyle w:val="TextBody"/>
        <w:bidi w:val="0"/>
        <w:spacing w:before="0" w:after="0"/>
        <w:jc w:val="left"/>
        <w:rPr/>
      </w:pPr>
      <w:r>
        <w:rPr/>
        <w:t> </w:t>
      </w:r>
      <w:r>
        <w:rPr>
          <w:b/>
        </w:rPr>
        <w:t>Integrated Gas</w:t>
      </w:r>
    </w:p>
    <w:tbl>
      <w:tblPr>
        <w:tblW w:w="10205" w:type="dxa"/>
        <w:jc w:val="left"/>
        <w:tblInd w:w="-10" w:type="dxa"/>
        <w:tblLayout w:type="fixed"/>
        <w:tblCellMar>
          <w:top w:w="28" w:type="dxa"/>
          <w:left w:w="28" w:type="dxa"/>
          <w:bottom w:w="28" w:type="dxa"/>
          <w:right w:w="0" w:type="dxa"/>
        </w:tblCellMar>
      </w:tblPr>
      <w:tblGrid>
        <w:gridCol w:w="2797"/>
        <w:gridCol w:w="721"/>
        <w:gridCol w:w="1457"/>
        <w:gridCol w:w="5230"/>
      </w:tblGrid>
      <w:tr>
        <w:trPr/>
        <w:tc>
          <w:tcPr>
            <w:tcW w:w="2797"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457"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Q2’26 Outlook</w:t>
            </w:r>
          </w:p>
        </w:tc>
        <w:tc>
          <w:tcPr>
            <w:tcW w:w="523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rPr>
            </w:pPr>
            <w:r>
              <w:rPr>
                <w:b/>
              </w:rPr>
              <w:t>Comment</w:t>
            </w:r>
          </w:p>
        </w:tc>
      </w:tr>
      <w:tr>
        <w:trPr/>
        <w:tc>
          <w:tcPr>
            <w:tcW w:w="279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Production (kboe/d)</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909</w:t>
            </w:r>
          </w:p>
        </w:tc>
        <w:tc>
          <w:tcPr>
            <w:tcW w:w="145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610 - 650</w:t>
            </w:r>
          </w:p>
        </w:tc>
        <w:tc>
          <w:tcPr>
            <w:tcW w:w="523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Reflects the impact of the Middle East conflict on Qatari volumes.</w:t>
            </w:r>
          </w:p>
        </w:tc>
      </w:tr>
      <w:tr>
        <w:trPr/>
        <w:tc>
          <w:tcPr>
            <w:tcW w:w="279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LNG liquefaction volumes (MT)</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7.9</w:t>
            </w:r>
          </w:p>
        </w:tc>
        <w:tc>
          <w:tcPr>
            <w:tcW w:w="145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7.4 - 7.8</w:t>
            </w:r>
          </w:p>
        </w:tc>
        <w:tc>
          <w:tcPr>
            <w:tcW w:w="523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9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Underlying opex</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1.2</w:t>
            </w:r>
          </w:p>
        </w:tc>
        <w:tc>
          <w:tcPr>
            <w:tcW w:w="145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1.0 - 1.2</w:t>
            </w:r>
          </w:p>
        </w:tc>
        <w:tc>
          <w:tcPr>
            <w:tcW w:w="523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9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Pre-tax depreciation</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1.5</w:t>
            </w:r>
          </w:p>
        </w:tc>
        <w:tc>
          <w:tcPr>
            <w:tcW w:w="145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1.1 - 1.5</w:t>
            </w:r>
          </w:p>
        </w:tc>
        <w:tc>
          <w:tcPr>
            <w:tcW w:w="523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9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Taxation charge</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0.7</w:t>
            </w:r>
          </w:p>
        </w:tc>
        <w:tc>
          <w:tcPr>
            <w:tcW w:w="145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0.5 - 0.8</w:t>
            </w:r>
          </w:p>
        </w:tc>
        <w:tc>
          <w:tcPr>
            <w:tcW w:w="523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rPr>
            </w:pPr>
            <w:r>
              <w:rPr>
                <w:b/>
              </w:rPr>
              <w:t>Other Considerations:</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Trading &amp; Optimisation is expected to be significantly higher than Q1’26.</w:t>
            </w:r>
          </w:p>
        </w:tc>
      </w:tr>
    </w:tbl>
    <w:p>
      <w:pPr>
        <w:pStyle w:val="TextBody"/>
        <w:bidi w:val="0"/>
        <w:spacing w:before="0" w:after="0"/>
        <w:jc w:val="left"/>
        <w:rPr/>
      </w:pPr>
      <w:r>
        <w:rPr/>
        <w:t>  </w:t>
      </w:r>
    </w:p>
    <w:p>
      <w:pPr>
        <w:pStyle w:val="TextBody"/>
        <w:bidi w:val="0"/>
        <w:spacing w:before="0" w:after="0"/>
        <w:jc w:val="left"/>
        <w:rPr/>
      </w:pPr>
      <w:r>
        <w:rPr/>
        <w:t> </w:t>
      </w:r>
      <w:r>
        <w:rPr>
          <w:b/>
        </w:rPr>
        <w:t>Upstream</w:t>
      </w:r>
    </w:p>
    <w:tbl>
      <w:tblPr>
        <w:tblW w:w="5494" w:type="dxa"/>
        <w:jc w:val="left"/>
        <w:tblInd w:w="-10" w:type="dxa"/>
        <w:tblLayout w:type="fixed"/>
        <w:tblCellMar>
          <w:top w:w="28" w:type="dxa"/>
          <w:left w:w="28" w:type="dxa"/>
          <w:bottom w:w="28" w:type="dxa"/>
          <w:right w:w="0" w:type="dxa"/>
        </w:tblCellMar>
      </w:tblPr>
      <w:tblGrid>
        <w:gridCol w:w="2011"/>
        <w:gridCol w:w="721"/>
        <w:gridCol w:w="1606"/>
        <w:gridCol w:w="1156"/>
      </w:tblGrid>
      <w:tr>
        <w:trPr/>
        <w:tc>
          <w:tcPr>
            <w:tcW w:w="201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60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Q2’26 Outlook</w:t>
            </w:r>
          </w:p>
        </w:tc>
        <w:tc>
          <w:tcPr>
            <w:tcW w:w="115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rPr>
            </w:pPr>
            <w:r>
              <w:rPr>
                <w:b/>
              </w:rPr>
              <w:t>Comment</w:t>
            </w:r>
          </w:p>
        </w:tc>
      </w:tr>
      <w:tr>
        <w:trPr/>
        <w:tc>
          <w:tcPr>
            <w:tcW w:w="20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Production (kboe/d)</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1,843</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1,750 - 1,850</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Underlying opex</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2.2</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2.2 - 2.6</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Pre-tax depreciation</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2.6</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2.2 - 2.8</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0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Taxation charge</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2.1</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2.4 - 3.2</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49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rPr>
            </w:pPr>
            <w:r>
              <w:rPr>
                <w:b/>
              </w:rPr>
              <w:t>Other Considerations:</w:t>
            </w:r>
          </w:p>
        </w:tc>
      </w:tr>
      <w:tr>
        <w:trPr/>
        <w:tc>
          <w:tcPr>
            <w:tcW w:w="549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w:t>
            </w:r>
          </w:p>
        </w:tc>
      </w:tr>
    </w:tbl>
    <w:p>
      <w:pPr>
        <w:pStyle w:val="TextBody"/>
        <w:bidi w:val="0"/>
        <w:spacing w:before="0" w:after="0"/>
        <w:jc w:val="left"/>
        <w:rPr/>
      </w:pPr>
      <w:r>
        <w:rPr/>
        <w:t>  </w:t>
      </w:r>
      <w:r>
        <w:rPr/>
        <w:br/>
        <w:t> </w:t>
      </w:r>
      <w:r>
        <w:rPr>
          <w:b/>
        </w:rPr>
        <w:t>Marketing</w:t>
      </w:r>
    </w:p>
    <w:tbl>
      <w:tblPr>
        <w:tblW w:w="6463" w:type="dxa"/>
        <w:jc w:val="left"/>
        <w:tblInd w:w="-10" w:type="dxa"/>
        <w:tblLayout w:type="fixed"/>
        <w:tblCellMar>
          <w:top w:w="28" w:type="dxa"/>
          <w:left w:w="28" w:type="dxa"/>
          <w:bottom w:w="28" w:type="dxa"/>
          <w:right w:w="0" w:type="dxa"/>
        </w:tblCellMar>
      </w:tblPr>
      <w:tblGrid>
        <w:gridCol w:w="2432"/>
        <w:gridCol w:w="834"/>
        <w:gridCol w:w="1859"/>
        <w:gridCol w:w="1338"/>
      </w:tblGrid>
      <w:tr>
        <w:trPr/>
        <w:tc>
          <w:tcPr>
            <w:tcW w:w="2432"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834"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859"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Q2’26 Outlook</w:t>
            </w:r>
          </w:p>
        </w:tc>
        <w:tc>
          <w:tcPr>
            <w:tcW w:w="1338"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rPr>
            </w:pPr>
            <w:r>
              <w:rPr>
                <w:b/>
              </w:rPr>
              <w:t>Comment</w:t>
            </w:r>
          </w:p>
        </w:tc>
      </w:tr>
      <w:tr>
        <w:trPr/>
        <w:tc>
          <w:tcPr>
            <w:tcW w:w="2432"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Sales volumes (kb/d)</w:t>
            </w:r>
          </w:p>
        </w:tc>
        <w:tc>
          <w:tcPr>
            <w:tcW w:w="83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2,627</w:t>
            </w:r>
          </w:p>
        </w:tc>
        <w:tc>
          <w:tcPr>
            <w:tcW w:w="1859"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2,550 - 2,650</w:t>
            </w:r>
          </w:p>
        </w:tc>
        <w:tc>
          <w:tcPr>
            <w:tcW w:w="1338"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432"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Underlying opex</w:t>
            </w:r>
          </w:p>
        </w:tc>
        <w:tc>
          <w:tcPr>
            <w:tcW w:w="83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2.4</w:t>
            </w:r>
          </w:p>
        </w:tc>
        <w:tc>
          <w:tcPr>
            <w:tcW w:w="1859"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2.3 - 2.7</w:t>
            </w:r>
          </w:p>
        </w:tc>
        <w:tc>
          <w:tcPr>
            <w:tcW w:w="1338"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432"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Pre-tax depreciation</w:t>
            </w:r>
          </w:p>
        </w:tc>
        <w:tc>
          <w:tcPr>
            <w:tcW w:w="83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0.6</w:t>
            </w:r>
          </w:p>
        </w:tc>
        <w:tc>
          <w:tcPr>
            <w:tcW w:w="1859"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0.5 - 0.7</w:t>
            </w:r>
          </w:p>
        </w:tc>
        <w:tc>
          <w:tcPr>
            <w:tcW w:w="1338"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432"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Taxation charge</w:t>
            </w:r>
          </w:p>
        </w:tc>
        <w:tc>
          <w:tcPr>
            <w:tcW w:w="83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0.5</w:t>
            </w:r>
          </w:p>
        </w:tc>
        <w:tc>
          <w:tcPr>
            <w:tcW w:w="1859"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0.4 - 0.7</w:t>
            </w:r>
          </w:p>
        </w:tc>
        <w:tc>
          <w:tcPr>
            <w:tcW w:w="1338"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6463"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rPr>
            </w:pPr>
            <w:r>
              <w:rPr>
                <w:b/>
              </w:rPr>
              <w:t>Other Considerations:</w:t>
            </w:r>
          </w:p>
        </w:tc>
      </w:tr>
      <w:tr>
        <w:trPr/>
        <w:tc>
          <w:tcPr>
            <w:tcW w:w="6463"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Marketing adjusted earnings are expected to be in line with Q1’26.</w:t>
            </w:r>
          </w:p>
        </w:tc>
      </w:tr>
    </w:tbl>
    <w:p>
      <w:pPr>
        <w:pStyle w:val="TextBody"/>
        <w:bidi w:val="0"/>
        <w:spacing w:before="0" w:after="0"/>
        <w:jc w:val="left"/>
        <w:rPr/>
      </w:pPr>
      <w:r>
        <w:rPr/>
        <w:t>  </w:t>
      </w:r>
    </w:p>
    <w:p>
      <w:pPr>
        <w:pStyle w:val="TextBody"/>
        <w:bidi w:val="0"/>
        <w:spacing w:before="0" w:after="0"/>
        <w:jc w:val="left"/>
        <w:rPr/>
      </w:pPr>
      <w:r>
        <w:rPr/>
        <w:t> </w:t>
      </w:r>
      <w:r>
        <w:rPr>
          <w:b/>
        </w:rPr>
        <w:t>Chemicals and Products</w:t>
      </w:r>
    </w:p>
    <w:tbl>
      <w:tblPr>
        <w:tblW w:w="6694" w:type="dxa"/>
        <w:jc w:val="left"/>
        <w:tblInd w:w="-10" w:type="dxa"/>
        <w:tblLayout w:type="fixed"/>
        <w:tblCellMar>
          <w:top w:w="28" w:type="dxa"/>
          <w:left w:w="28" w:type="dxa"/>
          <w:bottom w:w="28" w:type="dxa"/>
          <w:right w:w="0" w:type="dxa"/>
        </w:tblCellMar>
      </w:tblPr>
      <w:tblGrid>
        <w:gridCol w:w="2761"/>
        <w:gridCol w:w="1171"/>
        <w:gridCol w:w="1606"/>
        <w:gridCol w:w="1156"/>
      </w:tblGrid>
      <w:tr>
        <w:trPr/>
        <w:tc>
          <w:tcPr>
            <w:tcW w:w="276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117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60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Q2’26 Outlook</w:t>
            </w:r>
          </w:p>
        </w:tc>
        <w:tc>
          <w:tcPr>
            <w:tcW w:w="115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rPr>
            </w:pPr>
            <w:r>
              <w:rPr>
                <w:b/>
              </w:rPr>
              <w:t>Comment</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Indicative refining margin</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$17/bbl</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~$20/bbl*</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Indicative chemicals margin</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$139/tonne</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~$240/tonne*</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Refinery utilisation</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99%</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~100%</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Chemicals utilisation</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85%</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80% - 84%</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Underlying opex</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2.0</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1.8 - 2.2</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Pre-tax depreciation</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0.9</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1.1 - 1.3</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Taxation charge / (credit)</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0.7</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0.3 - 0.8</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669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rPr>
            </w:pPr>
            <w:r>
              <w:rPr>
                <w:b/>
              </w:rPr>
              <w:t>Other Considerations:</w:t>
            </w:r>
          </w:p>
        </w:tc>
      </w:tr>
      <w:tr>
        <w:trPr/>
        <w:tc>
          <w:tcPr>
            <w:tcW w:w="6694"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Trading &amp; Optimisation is expected to be in line with Q1’26.</w:t>
            </w:r>
          </w:p>
        </w:tc>
      </w:tr>
    </w:tbl>
    <w:p>
      <w:pPr>
        <w:pStyle w:val="TextBody"/>
        <w:bidi w:val="0"/>
        <w:spacing w:before="0" w:after="0"/>
        <w:jc w:val="left"/>
        <w:rPr/>
      </w:pPr>
      <w:r>
        <w:rPr/>
        <w:t>*Given market dislocations, realised refining and chemicals margins are lower than the calculated IRM / ICM and have been adjusted accordingly.</w:t>
      </w:r>
    </w:p>
    <w:p>
      <w:pPr>
        <w:pStyle w:val="TextBody"/>
        <w:bidi w:val="0"/>
        <w:spacing w:before="0" w:after="0"/>
        <w:jc w:val="left"/>
        <w:rPr/>
      </w:pPr>
      <w:r>
        <w:rPr/>
        <w:t> </w:t>
      </w:r>
    </w:p>
    <w:p>
      <w:pPr>
        <w:pStyle w:val="TextBody"/>
        <w:bidi w:val="0"/>
        <w:spacing w:before="0" w:after="0"/>
        <w:jc w:val="left"/>
        <w:rPr/>
      </w:pPr>
      <w:r>
        <w:rPr/>
        <w:t> </w:t>
      </w:r>
      <w:r>
        <w:rPr>
          <w:b/>
        </w:rPr>
        <w:t>Renewables and Energy Solutions</w:t>
      </w:r>
    </w:p>
    <w:tbl>
      <w:tblPr>
        <w:tblW w:w="5584" w:type="dxa"/>
        <w:jc w:val="left"/>
        <w:tblInd w:w="-10" w:type="dxa"/>
        <w:tblLayout w:type="fixed"/>
        <w:tblCellMar>
          <w:top w:w="28" w:type="dxa"/>
          <w:left w:w="28" w:type="dxa"/>
          <w:bottom w:w="28" w:type="dxa"/>
          <w:right w:w="0" w:type="dxa"/>
        </w:tblCellMar>
      </w:tblPr>
      <w:tblGrid>
        <w:gridCol w:w="2101"/>
        <w:gridCol w:w="721"/>
        <w:gridCol w:w="1606"/>
        <w:gridCol w:w="1156"/>
      </w:tblGrid>
      <w:tr>
        <w:trPr/>
        <w:tc>
          <w:tcPr>
            <w:tcW w:w="210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60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Q2’26 Outlook</w:t>
            </w:r>
          </w:p>
        </w:tc>
        <w:tc>
          <w:tcPr>
            <w:tcW w:w="115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rPr>
            </w:pPr>
            <w:r>
              <w:rPr>
                <w:b/>
              </w:rPr>
              <w:t>Comment</w:t>
            </w:r>
          </w:p>
        </w:tc>
      </w:tr>
      <w:tr>
        <w:trPr/>
        <w:tc>
          <w:tcPr>
            <w:tcW w:w="2101"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 xml:space="preserve">Adjusted Earnings </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0.3</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(0.3) - 0.3</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b/>
        </w:rPr>
      </w:pPr>
      <w:r>
        <w:rPr>
          <w:b/>
        </w:rPr>
        <w:t>Corporate</w:t>
      </w:r>
    </w:p>
    <w:tbl>
      <w:tblPr>
        <w:tblW w:w="5584" w:type="dxa"/>
        <w:jc w:val="left"/>
        <w:tblInd w:w="-10" w:type="dxa"/>
        <w:tblLayout w:type="fixed"/>
        <w:tblCellMar>
          <w:top w:w="28" w:type="dxa"/>
          <w:left w:w="28" w:type="dxa"/>
          <w:bottom w:w="28" w:type="dxa"/>
          <w:right w:w="0" w:type="dxa"/>
        </w:tblCellMar>
      </w:tblPr>
      <w:tblGrid>
        <w:gridCol w:w="2101"/>
        <w:gridCol w:w="721"/>
        <w:gridCol w:w="1606"/>
        <w:gridCol w:w="1156"/>
      </w:tblGrid>
      <w:tr>
        <w:trPr/>
        <w:tc>
          <w:tcPr>
            <w:tcW w:w="210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60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Q2’26 Outlook</w:t>
            </w:r>
          </w:p>
        </w:tc>
        <w:tc>
          <w:tcPr>
            <w:tcW w:w="115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rPr>
            </w:pPr>
            <w:r>
              <w:rPr>
                <w:b/>
              </w:rPr>
              <w:t>Comment</w:t>
            </w:r>
          </w:p>
        </w:tc>
      </w:tr>
      <w:tr>
        <w:trPr/>
        <w:tc>
          <w:tcPr>
            <w:tcW w:w="2101"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 xml:space="preserve">Adjusted Earnings </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(0.9)</w:t>
            </w:r>
          </w:p>
        </w:tc>
        <w:tc>
          <w:tcPr>
            <w:tcW w:w="160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(0.7) - (0.5)</w:t>
            </w:r>
          </w:p>
        </w:tc>
        <w:tc>
          <w:tcPr>
            <w:tcW w:w="115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b/>
        </w:rPr>
      </w:pPr>
      <w:r>
        <w:rPr>
          <w:b/>
        </w:rPr>
        <w:t xml:space="preserve">Shell Group </w:t>
      </w:r>
    </w:p>
    <w:tbl>
      <w:tblPr>
        <w:tblW w:w="10205" w:type="dxa"/>
        <w:jc w:val="left"/>
        <w:tblInd w:w="-10" w:type="dxa"/>
        <w:tblLayout w:type="fixed"/>
        <w:tblCellMar>
          <w:top w:w="28" w:type="dxa"/>
          <w:left w:w="28" w:type="dxa"/>
          <w:bottom w:w="28" w:type="dxa"/>
          <w:right w:w="0" w:type="dxa"/>
        </w:tblCellMar>
      </w:tblPr>
      <w:tblGrid>
        <w:gridCol w:w="3349"/>
        <w:gridCol w:w="721"/>
        <w:gridCol w:w="1392"/>
        <w:gridCol w:w="4743"/>
      </w:tblGrid>
      <w:tr>
        <w:trPr/>
        <w:tc>
          <w:tcPr>
            <w:tcW w:w="3349"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392"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Q2’26 Outlook</w:t>
            </w:r>
          </w:p>
        </w:tc>
        <w:tc>
          <w:tcPr>
            <w:tcW w:w="4743"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left"/>
              <w:rPr>
                <w:b/>
              </w:rPr>
            </w:pPr>
            <w:r>
              <w:rPr>
                <w:b/>
              </w:rPr>
              <w:t>Comment</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rPr>
            </w:pPr>
            <w:r>
              <w:rPr>
                <w:b/>
              </w:rPr>
              <w:t>CFFO:</w:t>
            </w:r>
          </w:p>
        </w:tc>
      </w:tr>
      <w:tr>
        <w:trPr/>
        <w:tc>
          <w:tcPr>
            <w:tcW w:w="3349"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Tax paid</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2.3</w:t>
            </w:r>
          </w:p>
        </w:tc>
        <w:tc>
          <w:tcPr>
            <w:tcW w:w="1392"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2.6 - 3.4</w:t>
            </w:r>
          </w:p>
        </w:tc>
        <w:tc>
          <w:tcPr>
            <w:tcW w:w="474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349"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Financial Derivative Instruments movements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(0.4)</w:t>
            </w:r>
          </w:p>
        </w:tc>
        <w:tc>
          <w:tcPr>
            <w:tcW w:w="1392"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 - 4</w:t>
            </w:r>
          </w:p>
        </w:tc>
        <w:tc>
          <w:tcPr>
            <w:tcW w:w="474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349"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Working capital</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(11.2)</w:t>
            </w:r>
          </w:p>
        </w:tc>
        <w:tc>
          <w:tcPr>
            <w:tcW w:w="1392"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1 - 6</w:t>
            </w:r>
          </w:p>
        </w:tc>
        <w:tc>
          <w:tcPr>
            <w:tcW w:w="4743"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Reflects impact of unprecedented volatility in commodity prices.</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b/>
              </w:rPr>
            </w:pPr>
            <w:r>
              <w:rPr>
                <w:b/>
              </w:rPr>
              <w:t>Other Shell Group Considerations:</w:t>
            </w:r>
          </w:p>
        </w:tc>
      </w:tr>
      <w:tr>
        <w:trPr/>
        <w:tc>
          <w:tcPr>
            <w:tcW w:w="10205" w:type="dxa"/>
            <w:gridSpan w:val="4"/>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b/>
        </w:rPr>
      </w:pPr>
      <w:r>
        <w:rPr>
          <w:b/>
        </w:rPr>
        <w:t>Guidance</w:t>
      </w:r>
    </w:p>
    <w:p>
      <w:pPr>
        <w:pStyle w:val="TextBody"/>
        <w:bidi w:val="0"/>
        <w:spacing w:before="0" w:after="0"/>
        <w:jc w:val="left"/>
        <w:rPr/>
      </w:pPr>
      <w:r>
        <w:rPr/>
        <w:t> </w:t>
      </w:r>
    </w:p>
    <w:p>
      <w:pPr>
        <w:pStyle w:val="TextBody"/>
        <w:bidi w:val="0"/>
        <w:spacing w:before="0" w:after="0"/>
        <w:jc w:val="left"/>
        <w:rPr/>
      </w:pPr>
      <w:r>
        <w:rPr/>
        <w:t>The ‘Quarterly Databook’ contains guidance on Indicative Refining Margin, Indicative Chemicals Margin and full-year price and margin sensitivities.</w:t>
      </w:r>
    </w:p>
    <w:p>
      <w:pPr>
        <w:pStyle w:val="TextBody"/>
        <w:bidi w:val="0"/>
        <w:spacing w:before="0" w:after="0"/>
        <w:jc w:val="left"/>
        <w:rPr/>
      </w:pPr>
      <w:r>
        <w:rPr/>
        <w:t> </w:t>
      </w:r>
    </w:p>
    <w:p>
      <w:pPr>
        <w:pStyle w:val="TextBody"/>
        <w:bidi w:val="0"/>
        <w:spacing w:before="0" w:after="0"/>
        <w:jc w:val="left"/>
        <w:rPr>
          <w:b/>
        </w:rPr>
      </w:pPr>
      <w:r>
        <w:rPr>
          <w:b/>
        </w:rPr>
        <w:t>In light of the ongoing situation in the Middle East, full-year price and margin sensitivities do not necessarily reflect realised margin movements in an individual quarter.</w:t>
      </w:r>
    </w:p>
    <w:p>
      <w:pPr>
        <w:pStyle w:val="TextBody"/>
        <w:bidi w:val="0"/>
        <w:spacing w:before="0" w:after="0"/>
        <w:jc w:val="left"/>
        <w:rPr/>
      </w:pPr>
      <w:r>
        <w:rPr/>
        <w:t> </w:t>
      </w:r>
    </w:p>
    <w:p>
      <w:pPr>
        <w:pStyle w:val="TextBody"/>
        <w:bidi w:val="0"/>
        <w:spacing w:before="0" w:after="0"/>
        <w:jc w:val="left"/>
        <w:rPr>
          <w:b/>
        </w:rPr>
      </w:pPr>
      <w:r>
        <w:rPr>
          <w:b/>
        </w:rPr>
        <w:t>Consensus</w:t>
      </w:r>
    </w:p>
    <w:p>
      <w:pPr>
        <w:pStyle w:val="TextBody"/>
        <w:bidi w:val="0"/>
        <w:spacing w:before="0" w:after="0"/>
        <w:jc w:val="left"/>
        <w:rPr/>
      </w:pPr>
      <w:r>
        <w:rPr/>
        <w:t> </w:t>
      </w:r>
    </w:p>
    <w:p>
      <w:pPr>
        <w:pStyle w:val="TextBody"/>
        <w:bidi w:val="0"/>
        <w:spacing w:before="0" w:after="0"/>
        <w:jc w:val="both"/>
        <w:rPr/>
      </w:pPr>
      <w:r>
        <w:rPr/>
        <w:t>The company compiled consensus, managed by Vara Research, is expected to be published on July 22, 2026.</w:t>
      </w:r>
    </w:p>
    <w:p>
      <w:pPr>
        <w:pStyle w:val="TextBody"/>
        <w:bidi w:val="0"/>
        <w:spacing w:before="0" w:after="0"/>
        <w:jc w:val="both"/>
        <w:rPr/>
      </w:pPr>
      <w:r>
        <w:rPr/>
        <w:t> </w:t>
      </w:r>
    </w:p>
    <w:p>
      <w:pPr>
        <w:pStyle w:val="TextBody"/>
        <w:bidi w:val="0"/>
        <w:spacing w:before="0" w:after="0"/>
        <w:jc w:val="left"/>
        <w:rPr>
          <w:b/>
        </w:rPr>
      </w:pPr>
      <w:r>
        <w:rPr>
          <w:b/>
        </w:rPr>
        <w:t>Appendix</w:t>
      </w:r>
    </w:p>
    <w:p>
      <w:pPr>
        <w:pStyle w:val="TextBody"/>
        <w:bidi w:val="0"/>
        <w:spacing w:before="0" w:after="0"/>
        <w:jc w:val="left"/>
        <w:rPr/>
      </w:pPr>
      <w:r>
        <w:rPr/>
        <w:t> </w:t>
      </w:r>
    </w:p>
    <w:p>
      <w:pPr>
        <w:pStyle w:val="TextBody"/>
        <w:bidi w:val="0"/>
        <w:spacing w:before="0" w:after="0"/>
        <w:jc w:val="left"/>
        <w:rPr/>
      </w:pPr>
      <w:r>
        <w:rPr/>
        <w:t>Indicative Margins</w:t>
      </w:r>
    </w:p>
    <w:tbl>
      <w:tblPr>
        <w:tblW w:w="6528" w:type="dxa"/>
        <w:jc w:val="left"/>
        <w:tblInd w:w="-10" w:type="dxa"/>
        <w:tblLayout w:type="fixed"/>
        <w:tblCellMar>
          <w:top w:w="28" w:type="dxa"/>
          <w:left w:w="28" w:type="dxa"/>
          <w:bottom w:w="28" w:type="dxa"/>
          <w:right w:w="0" w:type="dxa"/>
        </w:tblCellMar>
      </w:tblPr>
      <w:tblGrid>
        <w:gridCol w:w="2761"/>
        <w:gridCol w:w="1171"/>
        <w:gridCol w:w="2596"/>
      </w:tblGrid>
      <w:tr>
        <w:trPr/>
        <w:tc>
          <w:tcPr>
            <w:tcW w:w="276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Chemicals &amp; Products</w:t>
            </w:r>
          </w:p>
        </w:tc>
        <w:tc>
          <w:tcPr>
            <w:tcW w:w="117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259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Q2’26 Updated Outlook</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Indicative refining margin</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$17/bbl</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~$20/bbl*</w:t>
            </w:r>
          </w:p>
        </w:tc>
      </w:tr>
      <w:tr>
        <w:trPr/>
        <w:tc>
          <w:tcPr>
            <w:tcW w:w="276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Indicative chemicals margin</w:t>
            </w:r>
          </w:p>
        </w:tc>
        <w:tc>
          <w:tcPr>
            <w:tcW w:w="117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$139/tonne</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~$240/tonne*</w:t>
            </w:r>
          </w:p>
        </w:tc>
      </w:tr>
    </w:tbl>
    <w:p>
      <w:pPr>
        <w:pStyle w:val="TextBody"/>
        <w:bidi w:val="0"/>
        <w:spacing w:before="0" w:after="0"/>
        <w:jc w:val="left"/>
        <w:rPr/>
      </w:pPr>
      <w:r>
        <w:rPr>
          <w:position w:val="8"/>
          <w:sz w:val="19"/>
        </w:rPr>
        <w:t>*</w:t>
      </w:r>
      <w:r>
        <w:rPr/>
        <w:t>Given market dislocations, realised refining and chemicals margins are lower than the calculated IRM / ICM and have been adjusted accordingly.</w:t>
      </w:r>
    </w:p>
    <w:p>
      <w:pPr>
        <w:pStyle w:val="TextBody"/>
        <w:bidi w:val="0"/>
        <w:spacing w:before="0" w:after="0"/>
        <w:jc w:val="left"/>
        <w:rPr/>
      </w:pPr>
      <w:r>
        <w:rPr/>
        <w:t> </w:t>
      </w:r>
    </w:p>
    <w:p>
      <w:pPr>
        <w:pStyle w:val="TextBody"/>
        <w:bidi w:val="0"/>
        <w:spacing w:before="0" w:after="0"/>
        <w:jc w:val="left"/>
        <w:rPr/>
      </w:pPr>
      <w:r>
        <w:rPr/>
        <w:t>Volume Data</w:t>
      </w:r>
    </w:p>
    <w:tbl>
      <w:tblPr>
        <w:tblW w:w="8719" w:type="dxa"/>
        <w:jc w:val="left"/>
        <w:tblInd w:w="-10" w:type="dxa"/>
        <w:tblLayout w:type="fixed"/>
        <w:tblCellMar>
          <w:top w:w="28" w:type="dxa"/>
          <w:left w:w="28" w:type="dxa"/>
          <w:bottom w:w="28" w:type="dxa"/>
          <w:right w:w="0" w:type="dxa"/>
        </w:tblCellMar>
      </w:tblPr>
      <w:tblGrid>
        <w:gridCol w:w="3226"/>
        <w:gridCol w:w="721"/>
        <w:gridCol w:w="2176"/>
        <w:gridCol w:w="2596"/>
      </w:tblGrid>
      <w:tr>
        <w:trPr/>
        <w:tc>
          <w:tcPr>
            <w:tcW w:w="322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Operational Metrics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2176"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Q2’26 QPR Outlook</w:t>
            </w:r>
          </w:p>
        </w:tc>
        <w:tc>
          <w:tcPr>
            <w:tcW w:w="259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Q2’26 Updated Outlook</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 xml:space="preserve">Integrated Gas </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Production (kboe/d)</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909</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580 - 640</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610 - 650</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LNG liquefaction volumes (MT)</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7.9</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6.8 - 7.4</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7.4 - 7.8</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Upstream</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Production (kboe/d)</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1,843</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1,620 - 1,820</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1,750 - 1,850</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Marketing</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Sales volumes (kb/d)</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2,627</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2,500 - 2,700</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2,550 - 2,650</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Chemicals &amp; Products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Refinery utilisation</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99%</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91% - 99%</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~100%</w:t>
            </w:r>
          </w:p>
        </w:tc>
      </w:tr>
      <w:tr>
        <w:trPr/>
        <w:tc>
          <w:tcPr>
            <w:tcW w:w="322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Chemicals utilisation</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85%</w:t>
            </w:r>
          </w:p>
        </w:tc>
        <w:tc>
          <w:tcPr>
            <w:tcW w:w="2176"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76% - 84%</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80% - 84%</w:t>
            </w:r>
          </w:p>
        </w:tc>
      </w:tr>
    </w:tbl>
    <w:p>
      <w:pPr>
        <w:pStyle w:val="TextBody"/>
        <w:bidi w:val="0"/>
        <w:spacing w:before="0" w:after="0"/>
        <w:jc w:val="left"/>
        <w:rPr/>
      </w:pPr>
      <w:r>
        <w:rPr/>
        <w:t> </w:t>
      </w:r>
    </w:p>
    <w:p>
      <w:pPr>
        <w:pStyle w:val="TextBody"/>
        <w:bidi w:val="0"/>
        <w:spacing w:before="0" w:after="0"/>
        <w:jc w:val="left"/>
        <w:rPr/>
      </w:pPr>
      <w:r>
        <w:rPr/>
        <w:t>Underlying Opex</w:t>
      </w:r>
    </w:p>
    <w:p>
      <w:pPr>
        <w:pStyle w:val="TextBody"/>
        <w:bidi w:val="0"/>
        <w:spacing w:before="0" w:after="0"/>
        <w:jc w:val="left"/>
        <w:rPr/>
      </w:pPr>
      <w:r>
        <w:rPr/>
        <w:t> </w:t>
      </w:r>
    </w:p>
    <w:p>
      <w:pPr>
        <w:pStyle w:val="TextBody"/>
        <w:bidi w:val="0"/>
        <w:spacing w:before="0" w:after="0"/>
        <w:jc w:val="left"/>
        <w:rPr/>
      </w:pPr>
      <w:r>
        <w:rPr/>
        <w:t>Underlying operating expenses is a measure aimed at facilitating a comparative understanding of performance from period to period by removing the effects of identified items, which, either individually or collectively, can cause volatility, in some cases driven by external factors. Underlying operating expenses comprises the following items from the Consolidated statement of Income: production and manufacturing expenses; selling, distribution and administrative expenses; and research and development expenses and removes the effects of identified items such as redundancy and restructuring charges or reversals, provisions or reversals and others. For further details see the 1st Quarter 2026 unaudited results.</w:t>
      </w:r>
    </w:p>
    <w:p>
      <w:pPr>
        <w:pStyle w:val="TextBody"/>
        <w:bidi w:val="0"/>
        <w:spacing w:before="0" w:after="0"/>
        <w:jc w:val="left"/>
        <w:rPr/>
      </w:pPr>
      <w:r>
        <w:rPr/>
        <w:t> </w:t>
      </w:r>
    </w:p>
    <w:tbl>
      <w:tblPr>
        <w:tblW w:w="9694" w:type="dxa"/>
        <w:jc w:val="left"/>
        <w:tblInd w:w="-10" w:type="dxa"/>
        <w:tblLayout w:type="fixed"/>
        <w:tblCellMar>
          <w:top w:w="28" w:type="dxa"/>
          <w:left w:w="28" w:type="dxa"/>
          <w:bottom w:w="28" w:type="dxa"/>
          <w:right w:w="0" w:type="dxa"/>
        </w:tblCellMar>
      </w:tblPr>
      <w:tblGrid>
        <w:gridCol w:w="4666"/>
        <w:gridCol w:w="721"/>
        <w:gridCol w:w="1711"/>
        <w:gridCol w:w="2596"/>
      </w:tblGrid>
      <w:tr>
        <w:trPr/>
        <w:tc>
          <w:tcPr>
            <w:tcW w:w="4666"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71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 Adjusted</w:t>
            </w:r>
          </w:p>
        </w:tc>
        <w:tc>
          <w:tcPr>
            <w:tcW w:w="259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Q2’26 Updated Outlook</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Production and manufacturing expenses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5.7</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Selling, distribution and administrative expenses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2.8</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Research and development</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0.2</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Operating Expenses (Opex)</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8.7</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8.7</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Less: Identified Items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0.1</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Underlying Opex</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8.6</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t>of which:</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Integrated Gas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1.2</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1.2</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1.0 - 1.2</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Upstream</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2.3</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2.2</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2.2 - 2.6</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Marketing</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2.5</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2.4</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2.3 - 2.7</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Chemicals and Products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2.0</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2.0</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1.8 - 2.2</w:t>
            </w:r>
          </w:p>
        </w:tc>
      </w:tr>
      <w:tr>
        <w:trPr/>
        <w:tc>
          <w:tcPr>
            <w:tcW w:w="4666"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Renewables and Energy Solutions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0.6</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0.6</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Depreciation, depletion and amortisation</w:t>
      </w:r>
    </w:p>
    <w:tbl>
      <w:tblPr>
        <w:tblW w:w="9199" w:type="dxa"/>
        <w:jc w:val="left"/>
        <w:tblInd w:w="-10" w:type="dxa"/>
        <w:tblLayout w:type="fixed"/>
        <w:tblCellMar>
          <w:top w:w="28" w:type="dxa"/>
          <w:left w:w="28" w:type="dxa"/>
          <w:bottom w:w="28" w:type="dxa"/>
          <w:right w:w="0" w:type="dxa"/>
        </w:tblCellMar>
      </w:tblPr>
      <w:tblGrid>
        <w:gridCol w:w="4171"/>
        <w:gridCol w:w="721"/>
        <w:gridCol w:w="1711"/>
        <w:gridCol w:w="2596"/>
      </w:tblGrid>
      <w:tr>
        <w:trPr/>
        <w:tc>
          <w:tcPr>
            <w:tcW w:w="417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71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 Adjusted</w:t>
            </w:r>
          </w:p>
        </w:tc>
        <w:tc>
          <w:tcPr>
            <w:tcW w:w="2596"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Q2’26 Updated Outlook</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Depreciation, Depletion &amp; Amortisation</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5.7</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5.7</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Less: Identified Items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Pre-tax depreciation (as Adjusted)</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5.7</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t>of which:</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Integrated Gas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1.5</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1.5</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1.1 - 1.5</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Upstream</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2.6</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2.6</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2.2 - 2.8</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Marketing</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0.5</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0.6</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0.5 - 0.7</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Chemicals and Products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1.0</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0.9</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1.1 - 1.3</w:t>
            </w:r>
          </w:p>
        </w:tc>
      </w:tr>
      <w:tr>
        <w:trPr/>
        <w:tc>
          <w:tcPr>
            <w:tcW w:w="417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Renewables and Energy Solutions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0.1</w:t>
            </w:r>
          </w:p>
        </w:tc>
        <w:tc>
          <w:tcPr>
            <w:tcW w:w="171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0.1</w:t>
            </w:r>
          </w:p>
        </w:tc>
        <w:tc>
          <w:tcPr>
            <w:tcW w:w="2596"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Taxation Charge</w:t>
      </w:r>
    </w:p>
    <w:tbl>
      <w:tblPr>
        <w:tblW w:w="10205" w:type="dxa"/>
        <w:jc w:val="left"/>
        <w:tblInd w:w="-10" w:type="dxa"/>
        <w:tblLayout w:type="fixed"/>
        <w:tblCellMar>
          <w:top w:w="28" w:type="dxa"/>
          <w:left w:w="28" w:type="dxa"/>
          <w:bottom w:w="28" w:type="dxa"/>
          <w:right w:w="0" w:type="dxa"/>
        </w:tblCellMar>
      </w:tblPr>
      <w:tblGrid>
        <w:gridCol w:w="5187"/>
        <w:gridCol w:w="721"/>
        <w:gridCol w:w="1707"/>
        <w:gridCol w:w="2590"/>
      </w:tblGrid>
      <w:tr>
        <w:trPr/>
        <w:tc>
          <w:tcPr>
            <w:tcW w:w="5187"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707"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 Adjusted</w:t>
            </w:r>
          </w:p>
        </w:tc>
        <w:tc>
          <w:tcPr>
            <w:tcW w:w="259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Q2’26 Updated Outlook</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Taxation Charge</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3.6</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3.6</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Less: Identified Items and Cost of supplies adjustment</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(0.4)</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Taxation Charge (as Adjusted)</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4.0</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t>of which:</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Integrated Gas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0.6</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0.7</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0.5 - 0.8</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Upstream</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1.8</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2.1</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2.4 - 3.2</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Marketing</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0.8</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0.5</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0.4 - 0.7</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Chemicals and Products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0.3</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0.7</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0.3 - 0.8</w:t>
            </w:r>
          </w:p>
        </w:tc>
      </w:tr>
      <w:tr>
        <w:trPr/>
        <w:tc>
          <w:tcPr>
            <w:tcW w:w="5187"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Renewables and Energy Solutions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0.2</w:t>
            </w:r>
          </w:p>
        </w:tc>
        <w:tc>
          <w:tcPr>
            <w:tcW w:w="1707"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0.1</w:t>
            </w:r>
          </w:p>
        </w:tc>
        <w:tc>
          <w:tcPr>
            <w:tcW w:w="259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Adjusted Earnings</w:t>
      </w:r>
    </w:p>
    <w:p>
      <w:pPr>
        <w:pStyle w:val="TextBody"/>
        <w:bidi w:val="0"/>
        <w:spacing w:before="0" w:after="0"/>
        <w:jc w:val="left"/>
        <w:rPr/>
      </w:pPr>
      <w:r>
        <w:rPr/>
        <w:t>The “Adjusted Earnings” measure aims to facilitate a comparative understanding of Shell’s financial performance from period to period by removing the effects of oil price changes on inventory carrying amounts and removing the effects of identified items. These items are in some cases driven by external factors and may, either individually or collectively, hinder the comparative understanding of Shell’s financial results from period to period. This measure excludes earnings attributable to non-controlling interest. For further details see the 1st Quarter 2026 unaudited results.</w:t>
      </w:r>
    </w:p>
    <w:p>
      <w:pPr>
        <w:pStyle w:val="TextBody"/>
        <w:bidi w:val="0"/>
        <w:spacing w:before="0" w:after="0"/>
        <w:jc w:val="left"/>
        <w:rPr/>
      </w:pPr>
      <w:r>
        <w:rPr/>
        <w:t> </w:t>
      </w:r>
    </w:p>
    <w:tbl>
      <w:tblPr>
        <w:tblW w:w="10205" w:type="dxa"/>
        <w:jc w:val="left"/>
        <w:tblInd w:w="-10" w:type="dxa"/>
        <w:tblLayout w:type="fixed"/>
        <w:tblCellMar>
          <w:top w:w="28" w:type="dxa"/>
          <w:left w:w="28" w:type="dxa"/>
          <w:bottom w:w="28" w:type="dxa"/>
          <w:right w:w="0" w:type="dxa"/>
        </w:tblCellMar>
      </w:tblPr>
      <w:tblGrid>
        <w:gridCol w:w="5793"/>
        <w:gridCol w:w="721"/>
        <w:gridCol w:w="1524"/>
        <w:gridCol w:w="2167"/>
      </w:tblGrid>
      <w:tr>
        <w:trPr/>
        <w:tc>
          <w:tcPr>
            <w:tcW w:w="5793"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i/>
              </w:rPr>
            </w:pPr>
            <w:r>
              <w:rPr>
                <w:i/>
              </w:rPr>
              <w:t>$ billions</w:t>
            </w:r>
          </w:p>
        </w:tc>
        <w:tc>
          <w:tcPr>
            <w:tcW w:w="72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w:t>
            </w:r>
          </w:p>
        </w:tc>
        <w:tc>
          <w:tcPr>
            <w:tcW w:w="1524"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Q1’26 Adjusted</w:t>
            </w:r>
          </w:p>
        </w:tc>
        <w:tc>
          <w:tcPr>
            <w:tcW w:w="2167"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Q2’26 Updated Outlook</w:t>
            </w:r>
          </w:p>
        </w:tc>
      </w:tr>
      <w:tr>
        <w:trPr/>
        <w:tc>
          <w:tcPr>
            <w:tcW w:w="5793"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Income/(loss) attributable to Shell plc shareholders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5.7</w:t>
            </w:r>
          </w:p>
        </w:tc>
        <w:tc>
          <w:tcPr>
            <w:tcW w:w="152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5.7</w:t>
            </w:r>
          </w:p>
        </w:tc>
        <w:tc>
          <w:tcPr>
            <w:tcW w:w="216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79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Add: Current cost of supplies adjustment attributable to Shell plc shareholders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52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(1.2)</w:t>
            </w:r>
          </w:p>
        </w:tc>
        <w:tc>
          <w:tcPr>
            <w:tcW w:w="216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79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Less: Identified items attributable to Shell plc shareholders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52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(2.4)</w:t>
            </w:r>
          </w:p>
        </w:tc>
        <w:tc>
          <w:tcPr>
            <w:tcW w:w="216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793" w:type="dxa"/>
            <w:tcBorders>
              <w:left w:val="single" w:sz="8" w:space="0" w:color="000000"/>
              <w:bottom w:val="single" w:sz="8" w:space="0" w:color="000000"/>
            </w:tcBorders>
            <w:tcMar>
              <w:top w:w="0" w:type="dxa"/>
            </w:tcMar>
            <w:vAlign w:val="center"/>
          </w:tcPr>
          <w:p>
            <w:pPr>
              <w:pStyle w:val="TableContents"/>
              <w:bidi w:val="0"/>
              <w:spacing w:before="0" w:after="283"/>
              <w:jc w:val="left"/>
              <w:rPr>
                <w:b/>
              </w:rPr>
            </w:pPr>
            <w:r>
              <w:rPr>
                <w:b/>
              </w:rPr>
              <w:t>Adjusted Earnings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52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6.9</w:t>
            </w:r>
          </w:p>
        </w:tc>
        <w:tc>
          <w:tcPr>
            <w:tcW w:w="216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79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t>of which:</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524"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216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left"/>
              <w:rPr/>
            </w:pPr>
            <w:r>
              <w:rPr/>
              <w:t> </w:t>
            </w:r>
          </w:p>
        </w:tc>
      </w:tr>
      <w:tr>
        <w:trPr/>
        <w:tc>
          <w:tcPr>
            <w:tcW w:w="579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Renewables and Energy Solutions</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0.5</w:t>
            </w:r>
          </w:p>
        </w:tc>
        <w:tc>
          <w:tcPr>
            <w:tcW w:w="152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0.3</w:t>
            </w:r>
          </w:p>
        </w:tc>
        <w:tc>
          <w:tcPr>
            <w:tcW w:w="216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(0.3) - 0.3</w:t>
            </w:r>
          </w:p>
        </w:tc>
      </w:tr>
      <w:tr>
        <w:trPr/>
        <w:tc>
          <w:tcPr>
            <w:tcW w:w="5793"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xml:space="preserve">    </w:t>
            </w:r>
            <w:r>
              <w:rPr>
                <w:b/>
              </w:rPr>
              <w:t>Corporate</w:t>
            </w:r>
          </w:p>
        </w:tc>
        <w:tc>
          <w:tcPr>
            <w:tcW w:w="72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(0.9)</w:t>
            </w:r>
          </w:p>
        </w:tc>
        <w:tc>
          <w:tcPr>
            <w:tcW w:w="1524"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(0.9)</w:t>
            </w:r>
          </w:p>
        </w:tc>
        <w:tc>
          <w:tcPr>
            <w:tcW w:w="2167"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r>
              <w:rPr/>
              <w:t>(0.7) - (0.5)</w:t>
            </w:r>
          </w:p>
        </w:tc>
      </w:tr>
    </w:tbl>
    <w:p>
      <w:pPr>
        <w:pStyle w:val="TextBody"/>
        <w:bidi w:val="0"/>
        <w:spacing w:before="0" w:after="0"/>
        <w:jc w:val="left"/>
        <w:rPr/>
      </w:pPr>
      <w:r>
        <w:rPr/>
        <w:t> </w:t>
      </w:r>
    </w:p>
    <w:p>
      <w:pPr>
        <w:pStyle w:val="TextBody"/>
        <w:bidi w:val="0"/>
        <w:spacing w:before="0" w:after="0"/>
        <w:jc w:val="left"/>
        <w:rPr/>
      </w:pPr>
      <w:r>
        <w:rPr/>
        <w:t>Working Capital</w:t>
      </w:r>
    </w:p>
    <w:p>
      <w:pPr>
        <w:pStyle w:val="TextBody"/>
        <w:bidi w:val="0"/>
        <w:spacing w:before="0" w:after="0"/>
        <w:jc w:val="left"/>
        <w:rPr/>
      </w:pPr>
      <w:r>
        <w:rPr/>
        <w:t> </w:t>
      </w:r>
    </w:p>
    <w:p>
      <w:pPr>
        <w:pStyle w:val="TextBody"/>
        <w:bidi w:val="0"/>
        <w:spacing w:before="0" w:after="0"/>
        <w:jc w:val="left"/>
        <w:rPr/>
      </w:pPr>
      <w:r>
        <w:rPr/>
        <w:t>Working capital movements are defined as the sum of the following items in the Consolidated Statement of Cash Flows: (i) (increase)/decrease in inventories, (ii) (increase)/decrease in current receivables, and (iii) increase/(decrease) in current payables.</w:t>
      </w:r>
    </w:p>
    <w:p>
      <w:pPr>
        <w:pStyle w:val="TextBody"/>
        <w:bidi w:val="0"/>
        <w:spacing w:before="0" w:after="0"/>
        <w:jc w:val="left"/>
        <w:rPr/>
      </w:pPr>
      <w:r>
        <w:rPr/>
        <w:t> </w:t>
      </w:r>
    </w:p>
    <w:p>
      <w:pPr>
        <w:pStyle w:val="TextBody"/>
        <w:bidi w:val="0"/>
        <w:spacing w:before="0" w:after="0"/>
        <w:jc w:val="left"/>
        <w:rPr/>
      </w:pPr>
      <w:r>
        <w:rPr/>
        <w:t>Net Debt</w:t>
      </w:r>
    </w:p>
    <w:p>
      <w:pPr>
        <w:pStyle w:val="TextBody"/>
        <w:bidi w:val="0"/>
        <w:spacing w:before="0" w:after="0"/>
        <w:jc w:val="left"/>
        <w:rPr/>
      </w:pPr>
      <w:r>
        <w:rPr/>
        <w:t> </w:t>
      </w:r>
    </w:p>
    <w:p>
      <w:pPr>
        <w:pStyle w:val="TextBody"/>
        <w:bidi w:val="0"/>
        <w:spacing w:before="0" w:after="0"/>
        <w:jc w:val="left"/>
        <w:rPr/>
      </w:pPr>
      <w:r>
        <w:rPr/>
        <w:t>Net debt is defined as the sum of current and non-current debt, less cash and cash equivalents, adjusted for the fair value of derivative financial instruments used to hedge foreign exchange and interest rate risks relating to debt, and associated collateral balances.</w:t>
      </w:r>
    </w:p>
    <w:p>
      <w:pPr>
        <w:pStyle w:val="TextBody"/>
        <w:bidi w:val="0"/>
        <w:spacing w:before="0" w:after="0"/>
        <w:jc w:val="left"/>
        <w:rPr/>
      </w:pPr>
      <w:r>
        <w:rPr/>
        <w:t> </w:t>
      </w:r>
    </w:p>
    <w:p>
      <w:pPr>
        <w:pStyle w:val="TextBody"/>
        <w:bidi w:val="0"/>
        <w:spacing w:before="0" w:after="0"/>
        <w:jc w:val="left"/>
        <w:rPr>
          <w:b/>
        </w:rPr>
      </w:pPr>
      <w:r>
        <w:rPr>
          <w:b/>
        </w:rPr>
        <w:t>Enquiries</w:t>
      </w:r>
    </w:p>
    <w:p>
      <w:pPr>
        <w:pStyle w:val="TextBody"/>
        <w:bidi w:val="0"/>
        <w:spacing w:before="0" w:after="0"/>
        <w:jc w:val="left"/>
        <w:rPr/>
      </w:pPr>
      <w:r>
        <w:rPr/>
        <w:t> </w:t>
      </w:r>
    </w:p>
    <w:p>
      <w:pPr>
        <w:pStyle w:val="TextBody"/>
        <w:bidi w:val="0"/>
        <w:spacing w:before="0" w:after="0"/>
        <w:jc w:val="left"/>
        <w:rPr/>
      </w:pPr>
      <w:r>
        <w:rPr/>
        <w:t>Media International: +44 (0) 207 934 5550</w:t>
      </w:r>
    </w:p>
    <w:p>
      <w:pPr>
        <w:pStyle w:val="TextBody"/>
        <w:bidi w:val="0"/>
        <w:spacing w:before="0" w:after="0"/>
        <w:jc w:val="left"/>
        <w:rPr/>
      </w:pPr>
      <w:r>
        <w:rPr/>
        <w:t>Media U.S. and Canada: Contact form</w:t>
      </w:r>
    </w:p>
    <w:p>
      <w:pPr>
        <w:pStyle w:val="TextBody"/>
        <w:bidi w:val="0"/>
        <w:spacing w:before="0" w:after="0"/>
        <w:jc w:val="left"/>
        <w:rPr/>
      </w:pPr>
      <w:r>
        <w:rPr/>
        <w:t> </w:t>
      </w:r>
    </w:p>
    <w:p>
      <w:pPr>
        <w:pStyle w:val="TextBody"/>
        <w:bidi w:val="0"/>
        <w:spacing w:before="0" w:after="0"/>
        <w:jc w:val="left"/>
        <w:rPr>
          <w:b/>
        </w:rPr>
      </w:pPr>
      <w:r>
        <w:rPr>
          <w:b/>
        </w:rPr>
        <w:t>Cautionary Note</w:t>
      </w:r>
    </w:p>
    <w:p>
      <w:pPr>
        <w:pStyle w:val="TextBody"/>
        <w:bidi w:val="0"/>
        <w:spacing w:before="0" w:after="0"/>
        <w:jc w:val="left"/>
        <w:rPr/>
      </w:pPr>
      <w:r>
        <w:rPr/>
        <w:t> </w:t>
      </w:r>
    </w:p>
    <w:p>
      <w:pPr>
        <w:pStyle w:val="TextBody"/>
        <w:bidi w:val="0"/>
        <w:spacing w:before="0" w:after="0"/>
        <w:jc w:val="left"/>
        <w:rPr/>
      </w:pPr>
      <w:r>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pStyle w:val="TextBody"/>
        <w:bidi w:val="0"/>
        <w:spacing w:before="0" w:after="0"/>
        <w:jc w:val="left"/>
        <w:rPr/>
      </w:pPr>
      <w:r>
        <w:rPr/>
        <w:t> </w:t>
      </w:r>
    </w:p>
    <w:p>
      <w:pPr>
        <w:pStyle w:val="TextBody"/>
        <w:bidi w:val="0"/>
        <w:spacing w:before="0" w:after="0"/>
        <w:jc w:val="both"/>
        <w:rPr/>
      </w:pPr>
      <w:r>
        <w:rPr/>
        <w:t>The numbers presented in this announcement may not sum precisely to the totals provided and percentages may not precisely reflect the absolute figures due to rounding.</w:t>
      </w:r>
    </w:p>
    <w:p>
      <w:pPr>
        <w:pStyle w:val="TextBody"/>
        <w:bidi w:val="0"/>
        <w:spacing w:before="0" w:after="0"/>
        <w:jc w:val="both"/>
        <w:rPr/>
      </w:pPr>
      <w:r>
        <w:rPr/>
        <w:t> </w:t>
      </w:r>
    </w:p>
    <w:p>
      <w:pPr>
        <w:pStyle w:val="TextBody"/>
        <w:bidi w:val="0"/>
        <w:spacing w:before="0" w:after="0"/>
        <w:jc w:val="both"/>
        <w:rPr/>
      </w:pPr>
      <w:r>
        <w:rPr>
          <w:b/>
          <w:u w:val="single"/>
        </w:rPr>
        <w:t>Forward-Looking statements</w:t>
      </w:r>
      <w:r>
        <w:rPr/>
        <w:b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July 7,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pStyle w:val="TextBody"/>
        <w:bidi w:val="0"/>
        <w:spacing w:before="0" w:after="0"/>
        <w:jc w:val="both"/>
        <w:rPr/>
      </w:pPr>
      <w:r>
        <w:rPr/>
        <w:t> </w:t>
      </w:r>
    </w:p>
    <w:p>
      <w:pPr>
        <w:pStyle w:val="TextBody"/>
        <w:bidi w:val="0"/>
        <w:spacing w:before="0" w:after="0"/>
        <w:jc w:val="left"/>
        <w:rPr/>
      </w:pPr>
      <w:r>
        <w:rPr>
          <w:b/>
          <w:u w:val="single"/>
        </w:rPr>
        <w:t>Shell’s net carbon intensity</w:t>
      </w:r>
      <w:r>
        <w:rPr/>
        <w:b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pStyle w:val="TextBody"/>
        <w:bidi w:val="0"/>
        <w:spacing w:before="0" w:after="0"/>
        <w:jc w:val="left"/>
        <w:rPr/>
      </w:pPr>
      <w:r>
        <w:rPr/>
        <w:t> </w:t>
      </w:r>
    </w:p>
    <w:p>
      <w:pPr>
        <w:pStyle w:val="TextBody"/>
        <w:bidi w:val="0"/>
        <w:spacing w:before="0" w:after="0"/>
        <w:jc w:val="left"/>
        <w:rPr/>
      </w:pPr>
      <w:r>
        <w:rPr>
          <w:b/>
          <w:u w:val="single"/>
        </w:rPr>
        <w:t>Shell’s net-zero emissions target</w:t>
      </w:r>
      <w:r>
        <w:rPr/>
        <w:b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targets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pStyle w:val="TextBody"/>
        <w:bidi w:val="0"/>
        <w:spacing w:before="0" w:after="0"/>
        <w:jc w:val="left"/>
        <w:rPr/>
      </w:pPr>
      <w:r>
        <w:rPr/>
        <w:t> </w:t>
      </w:r>
    </w:p>
    <w:p>
      <w:pPr>
        <w:pStyle w:val="TextBody"/>
        <w:bidi w:val="0"/>
        <w:spacing w:before="0" w:after="0"/>
        <w:jc w:val="left"/>
        <w:rPr>
          <w:b/>
          <w:u w:val="single"/>
        </w:rPr>
      </w:pPr>
      <w:r>
        <w:rPr>
          <w:b/>
          <w:u w:val="single"/>
        </w:rPr>
        <w:t>Forward-Looking Non-GAAP measures</w:t>
      </w:r>
    </w:p>
    <w:p>
      <w:pPr>
        <w:pStyle w:val="TextBody"/>
        <w:bidi w:val="0"/>
        <w:spacing w:before="0" w:after="0"/>
        <w:jc w:val="both"/>
        <w:rPr/>
      </w:pPr>
      <w:r>
        <w:rPr/>
        <w:t>This announcement may contain certain forward-looking non-GAAP measures such as Adjusted Earnings, Cash flow from operating activities excluding working capital movements, Net debt and Underlying operating expense.</w:t>
      </w:r>
    </w:p>
    <w:p>
      <w:pPr>
        <w:pStyle w:val="TextBody"/>
        <w:bidi w:val="0"/>
        <w:spacing w:before="0" w:after="0"/>
        <w:jc w:val="both"/>
        <w:rPr/>
      </w:pPr>
      <w:r>
        <w:rPr/>
        <w:t> </w:t>
      </w:r>
    </w:p>
    <w:p>
      <w:pPr>
        <w:pStyle w:val="TextBody"/>
        <w:bidi w:val="0"/>
        <w:spacing w:before="0" w:after="0"/>
        <w:jc w:val="both"/>
        <w:rPr/>
      </w:pPr>
      <w:r>
        <w:rPr/>
        <w:t>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br/>
        <w:t>The contents of websites referred to in this announcement do not form part of this announcement.</w:t>
      </w:r>
    </w:p>
    <w:p>
      <w:pPr>
        <w:pStyle w:val="TextBody"/>
        <w:bidi w:val="0"/>
        <w:spacing w:before="0" w:after="0"/>
        <w:jc w:val="both"/>
        <w:rPr/>
      </w:pPr>
      <w:r>
        <w:rPr/>
        <w:t> </w:t>
      </w:r>
    </w:p>
    <w:p>
      <w:pPr>
        <w:pStyle w:val="TextBody"/>
        <w:bidi w:val="0"/>
        <w:spacing w:before="0" w:after="0"/>
        <w:jc w:val="both"/>
        <w:rPr/>
      </w:pPr>
      <w:r>
        <w:rPr/>
        <w:t>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w:t>
      </w:r>
    </w:p>
    <w:p>
      <w:pPr>
        <w:pStyle w:val="HorizontalLine"/>
        <w:pBdr>
          <w:bottom w:val="single" w:sz="1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9"/>
        <w:gridCol w:w="9892"/>
      </w:tblGrid>
      <w:tr>
        <w:trPr/>
        <w:tc>
          <w:tcPr>
            <w:tcW w:w="74"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(a)</w:t>
            </w:r>
          </w:p>
        </w:tc>
        <w:tc>
          <w:tcPr>
            <w:tcW w:w="9892"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68"/>
        <w:gridCol w:w="9863"/>
      </w:tblGrid>
      <w:tr>
        <w:trPr/>
        <w:tc>
          <w:tcPr>
            <w:tcW w:w="74"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(b)</w:t>
            </w:r>
          </w:p>
        </w:tc>
        <w:tc>
          <w:tcPr>
            <w:tcW w:w="9863" w:type="dxa"/>
            <w:tcBorders/>
            <w:vAlign w:val="center"/>
          </w:tcPr>
          <w:p>
            <w:pPr>
              <w:pStyle w:val="TableContents"/>
              <w:bidi w:val="0"/>
              <w:spacing w:before="0" w:after="283"/>
              <w:jc w:val="left"/>
              <w:rPr/>
            </w:pPr>
            <w:r>
              <w:rPr/>
              <w:t>the Registration Statement on Form F-4 of Shell Finance US Inc. and Shell plc (Registration Numbers 333-296155 and 333-296155-01);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63"/>
        <w:gridCol w:w="9868"/>
      </w:tblGrid>
      <w:tr>
        <w:trPr/>
        <w:tc>
          <w:tcPr>
            <w:tcW w:w="74"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(c)</w:t>
            </w:r>
          </w:p>
        </w:tc>
        <w:tc>
          <w:tcPr>
            <w:tcW w:w="9868"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7,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Karen Heslop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Karen Heslop</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Deputy Company Secretary</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2553</Words>
  <Characters>14710</Characters>
  <CharactersWithSpaces>17190</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