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June 28,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 2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TENDER OFFER STATEMENT UNDER SECTION 14(d)(1) or 13(e)(1)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Royal Dutch Petroleum Company</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(Name of Subject Company (Issuer))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Royal Dutch Shell plc</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(Name of Filing Person (Offeror))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Ordinary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nominal (par) value €0.56 per share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(Title of Class of Securities)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780257804</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(CUSIP Number of Class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148590</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Peter Voser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Royal Dutch Shell plc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Carel van Bylandtlaan 30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2596 HR The Hague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Netherlands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(011 31 70) 377 9111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(Name, Address and Telephone Number of Person Authorized to Receive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Notices and Communications on Behalf of Filing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With a Copy to:</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William P. Rogers, Jr.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Cravath, Swaine &amp; Moore LLP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Citypoint, One Ropemaker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London EC2Y 9HR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England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+44(0)20 7453 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98"/>
        </w:trPr>
        <w:tc>
          <w:tcPr>
            <w:tcW w:w="5640" w:type="dxa"/>
            <w:vAlign w:val="bottom"/>
            <w:tcBorders>
              <w:bottom w:val="single" w:sz="8" w:color="808080"/>
            </w:tcBorders>
          </w:tcPr>
          <w:p>
            <w:pPr>
              <w:ind w:left="2000"/>
              <w:spacing w:after="0"/>
              <w:rPr>
                <w:sz w:val="20"/>
                <w:szCs w:val="20"/>
                <w:color w:val="auto"/>
              </w:rPr>
            </w:pPr>
            <w:r>
              <w:rPr>
                <w:rFonts w:ascii="Arial" w:cs="Arial" w:eastAsia="Arial" w:hAnsi="Arial"/>
                <w:sz w:val="14"/>
                <w:szCs w:val="14"/>
                <w:b w:val="1"/>
                <w:bCs w:val="1"/>
                <w:color w:val="auto"/>
              </w:rPr>
              <w:t>Transaction Valuation</w:t>
            </w:r>
            <w:r>
              <w:rPr>
                <w:rFonts w:ascii="Arial" w:cs="Arial" w:eastAsia="Arial" w:hAnsi="Arial"/>
                <w:sz w:val="22"/>
                <w:szCs w:val="22"/>
                <w:b w:val="1"/>
                <w:bCs w:val="1"/>
                <w:color w:val="auto"/>
                <w:vertAlign w:val="superscript"/>
              </w:rPr>
              <w:t>(1)</w:t>
            </w:r>
          </w:p>
        </w:tc>
        <w:tc>
          <w:tcPr>
            <w:tcW w:w="5780" w:type="dxa"/>
            <w:vAlign w:val="bottom"/>
            <w:tcBorders>
              <w:bottom w:val="single" w:sz="8" w:color="808080"/>
            </w:tcBorders>
          </w:tcPr>
          <w:p>
            <w:pPr>
              <w:jc w:val="center"/>
              <w:ind w:left="2"/>
              <w:spacing w:after="0"/>
              <w:rPr>
                <w:sz w:val="20"/>
                <w:szCs w:val="20"/>
                <w:color w:val="auto"/>
              </w:rPr>
            </w:pPr>
            <w:r>
              <w:rPr>
                <w:rFonts w:ascii="Arial" w:cs="Arial" w:eastAsia="Arial" w:hAnsi="Arial"/>
                <w:sz w:val="14"/>
                <w:szCs w:val="14"/>
                <w:b w:val="1"/>
                <w:bCs w:val="1"/>
                <w:color w:val="auto"/>
                <w:w w:val="85"/>
              </w:rPr>
              <w:t>Amount of Filing Fee</w:t>
            </w:r>
            <w:r>
              <w:rPr>
                <w:rFonts w:ascii="Arial" w:cs="Arial" w:eastAsia="Arial" w:hAnsi="Arial"/>
                <w:sz w:val="22"/>
                <w:szCs w:val="22"/>
                <w:b w:val="1"/>
                <w:bCs w:val="1"/>
                <w:color w:val="auto"/>
                <w:w w:val="85"/>
                <w:vertAlign w:val="superscript"/>
              </w:rPr>
              <w:t>(1)</w:t>
            </w:r>
          </w:p>
        </w:tc>
      </w:tr>
      <w:tr>
        <w:trPr>
          <w:trHeight w:val="105"/>
        </w:trPr>
        <w:tc>
          <w:tcPr>
            <w:tcW w:w="5640" w:type="dxa"/>
            <w:vAlign w:val="bottom"/>
          </w:tcPr>
          <w:p>
            <w:pPr>
              <w:spacing w:after="0"/>
              <w:rPr>
                <w:sz w:val="9"/>
                <w:szCs w:val="9"/>
                <w:color w:val="auto"/>
              </w:rPr>
            </w:pPr>
          </w:p>
        </w:tc>
        <w:tc>
          <w:tcPr>
            <w:tcW w:w="5780" w:type="dxa"/>
            <w:vAlign w:val="bottom"/>
          </w:tcPr>
          <w:p>
            <w:pPr>
              <w:spacing w:after="0"/>
              <w:rPr>
                <w:sz w:val="9"/>
                <w:szCs w:val="9"/>
                <w:color w:val="auto"/>
              </w:rPr>
            </w:pPr>
          </w:p>
        </w:tc>
      </w:tr>
      <w:tr>
        <w:trPr>
          <w:trHeight w:val="216"/>
        </w:trPr>
        <w:tc>
          <w:tcPr>
            <w:tcW w:w="5640" w:type="dxa"/>
            <w:vAlign w:val="bottom"/>
            <w:shd w:val="clear" w:color="auto" w:fill="EEEEEE"/>
          </w:tcPr>
          <w:p>
            <w:pPr>
              <w:ind w:left="2000"/>
              <w:spacing w:after="0"/>
              <w:rPr>
                <w:sz w:val="20"/>
                <w:szCs w:val="20"/>
                <w:color w:val="auto"/>
              </w:rPr>
            </w:pPr>
            <w:r>
              <w:rPr>
                <w:rFonts w:ascii="Arial" w:cs="Arial" w:eastAsia="Arial" w:hAnsi="Arial"/>
                <w:sz w:val="18"/>
                <w:szCs w:val="18"/>
                <w:color w:val="auto"/>
              </w:rPr>
              <w:t>$44,761,639,328.76</w:t>
            </w:r>
          </w:p>
        </w:tc>
        <w:tc>
          <w:tcPr>
            <w:tcW w:w="5780" w:type="dxa"/>
            <w:vAlign w:val="bottom"/>
            <w:shd w:val="clear" w:color="auto" w:fill="EEEEEE"/>
          </w:tcPr>
          <w:p>
            <w:pPr>
              <w:jc w:val="right"/>
              <w:ind w:right="2262"/>
              <w:spacing w:after="0"/>
              <w:rPr>
                <w:sz w:val="20"/>
                <w:szCs w:val="20"/>
                <w:color w:val="auto"/>
              </w:rPr>
            </w:pPr>
            <w:r>
              <w:rPr>
                <w:rFonts w:ascii="Arial" w:cs="Arial" w:eastAsia="Arial" w:hAnsi="Arial"/>
                <w:sz w:val="18"/>
                <w:szCs w:val="18"/>
                <w:color w:val="auto"/>
              </w:rPr>
              <w:t>$5,268,444.95</w:t>
            </w:r>
          </w:p>
        </w:tc>
      </w:tr>
      <w:tr>
        <w:trPr>
          <w:trHeight w:val="108"/>
        </w:trPr>
        <w:tc>
          <w:tcPr>
            <w:tcW w:w="5640" w:type="dxa"/>
            <w:vAlign w:val="bottom"/>
            <w:tcBorders>
              <w:bottom w:val="single" w:sz="8" w:color="808080"/>
            </w:tcBorders>
          </w:tcPr>
          <w:p>
            <w:pPr>
              <w:spacing w:after="0"/>
              <w:rPr>
                <w:sz w:val="9"/>
                <w:szCs w:val="9"/>
                <w:color w:val="auto"/>
              </w:rPr>
            </w:pPr>
          </w:p>
        </w:tc>
        <w:tc>
          <w:tcPr>
            <w:tcW w:w="5780" w:type="dxa"/>
            <w:vAlign w:val="bottom"/>
            <w:tcBorders>
              <w:bottom w:val="single" w:sz="8" w:color="808080"/>
            </w:tcBorders>
          </w:tcPr>
          <w:p>
            <w:pPr>
              <w:spacing w:after="0"/>
              <w:rPr>
                <w:sz w:val="9"/>
                <w:szCs w:val="9"/>
                <w:color w:val="auto"/>
              </w:rPr>
            </w:pPr>
          </w:p>
        </w:tc>
      </w:tr>
      <w:tr>
        <w:trPr>
          <w:trHeight w:val="210"/>
        </w:trPr>
        <w:tc>
          <w:tcPr>
            <w:tcW w:w="5640" w:type="dxa"/>
            <w:vAlign w:val="bottom"/>
            <w:tcBorders>
              <w:bottom w:val="single" w:sz="8" w:color="808080"/>
            </w:tcBorders>
          </w:tcPr>
          <w:p>
            <w:pPr>
              <w:spacing w:after="0"/>
              <w:rPr>
                <w:sz w:val="18"/>
                <w:szCs w:val="18"/>
                <w:color w:val="auto"/>
              </w:rPr>
            </w:pPr>
          </w:p>
        </w:tc>
        <w:tc>
          <w:tcPr>
            <w:tcW w:w="5780" w:type="dxa"/>
            <w:vAlign w:val="bottom"/>
            <w:tcBorders>
              <w:bottom w:val="single" w:sz="8" w:color="808080"/>
            </w:tcBorders>
          </w:tcPr>
          <w:p>
            <w:pPr>
              <w:spacing w:after="0"/>
              <w:rPr>
                <w:sz w:val="18"/>
                <w:szCs w:val="18"/>
                <w:color w:val="auto"/>
              </w:rPr>
            </w:pPr>
          </w:p>
        </w:tc>
      </w:tr>
    </w:tbl>
    <w:p>
      <w:pPr>
        <w:spacing w:after="0" w:line="316" w:lineRule="exact"/>
        <w:rPr>
          <w:sz w:val="20"/>
          <w:szCs w:val="20"/>
          <w:color w:val="auto"/>
        </w:rPr>
      </w:pPr>
    </w:p>
    <w:p>
      <w:pPr>
        <w:ind w:left="240" w:right="120" w:hanging="232"/>
        <w:spacing w:after="0" w:line="291" w:lineRule="auto"/>
        <w:tabs>
          <w:tab w:leader="none" w:pos="240" w:val="left"/>
        </w:tabs>
        <w:numPr>
          <w:ilvl w:val="0"/>
          <w:numId w:val="1"/>
        </w:numPr>
        <w:rPr>
          <w:rFonts w:ascii="Arial" w:cs="Arial" w:eastAsia="Arial" w:hAnsi="Arial"/>
          <w:sz w:val="16"/>
          <w:szCs w:val="16"/>
          <w:color w:val="auto"/>
        </w:rPr>
      </w:pPr>
      <w:r>
        <w:rPr>
          <w:rFonts w:ascii="Arial" w:cs="Arial" w:eastAsia="Arial" w:hAnsi="Arial"/>
          <w:sz w:val="16"/>
          <w:szCs w:val="16"/>
          <w:color w:val="auto"/>
        </w:rPr>
        <w:t>For purposes of calculating the filing fee pursuant to Rule 0-11(d), the transaction value of the Royal Dutch ordinary shares to be received by Royal Dutch Shell, assuming acceptance of the Offer by all holders of Royal Dutch ordinary shares in New York registry form and all holders of Royal Dutch ordinary shares in bearer or Hague registry form in the United States, is calculated as follows: The sum of (i) the product of 1,107,326,950 Royal Dutch Ordinary shares New York registry form and a price of $28.32, which represents the average of the high and low prices of Royal Dutch ordinary shares in New York registry form on the New York Stock Exchange on May 13, 2005 and subsequently dividing such amount by two as one Royal Dutch Shell Class A ADR, which will represent two Royal Dutch Shell Class A Ordinary Shares, is being offered in exchange for each Royal Dutch ordinary share in New York registry</w:t>
      </w:r>
    </w:p>
    <w:p>
      <w:pPr>
        <w:sectPr>
          <w:pgSz w:w="11900" w:h="16891" w:orient="portrait"/>
          <w:cols w:equalWidth="0" w:num="1">
            <w:col w:w="11420"/>
          </w:cols>
          <w:pgMar w:left="240" w:top="638" w:right="239" w:bottom="0" w:gutter="0" w:footer="0" w:header="0"/>
        </w:sectPr>
      </w:pPr>
    </w:p>
    <w:bookmarkStart w:id="2" w:name="page3"/>
    <w:bookmarkEnd w:id="2"/>
    <w:p>
      <w:pPr>
        <w:ind w:left="240"/>
        <w:spacing w:after="0" w:line="255" w:lineRule="auto"/>
        <w:rPr>
          <w:sz w:val="20"/>
          <w:szCs w:val="20"/>
          <w:color w:val="auto"/>
        </w:rPr>
      </w:pPr>
      <w:r>
        <w:rPr>
          <w:rFonts w:ascii="Arial" w:cs="Arial" w:eastAsia="Arial" w:hAnsi="Arial"/>
          <w:sz w:val="18"/>
          <w:szCs w:val="18"/>
          <w:color w:val="auto"/>
        </w:rPr>
        <w:t>form, and (ii) the product of 471,740,236 Royal Dutch ordinary shares in Hague registry form and a price of $28.41, which represents the average of the high and low prices of Royal Dutch ordinary shares in Hague registry form on Euronext Amsterdam on May 13, 2005, converted to U.S. dollars using the noon buying rate in New York City for cable transfers in euros as certified for customs purposes by the Federal Reserve Bank of New York, and subsequently dividing such amount by two as two Royal Dutch Shell Class A Ordinary Shares are being offered in exchange for each Royal Dutch ordinary share in Hague registry form.</w:t>
      </w:r>
    </w:p>
    <w:p>
      <w:pPr>
        <w:spacing w:after="0" w:line="200" w:lineRule="exact"/>
        <w:rPr>
          <w:sz w:val="20"/>
          <w:szCs w:val="20"/>
          <w:color w:val="auto"/>
        </w:rPr>
      </w:pPr>
    </w:p>
    <w:p>
      <w:pPr>
        <w:spacing w:after="0" w:line="267" w:lineRule="exact"/>
        <w:rPr>
          <w:sz w:val="20"/>
          <w:szCs w:val="20"/>
          <w:color w:val="auto"/>
        </w:rPr>
      </w:pPr>
    </w:p>
    <w:p>
      <w:pPr>
        <w:ind w:left="240" w:right="320" w:hanging="232"/>
        <w:spacing w:after="0" w:line="268" w:lineRule="auto"/>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fee, calculated in accordance with Rule 0-11(d) of the Securities Exchange Act of 1934, as amended, and the Fee Rate Advisory No. 6 for fiscal year 2005, equals $117.70 per million of transaction value, or $5,268,444.95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123190</wp:posOffset>
            </wp:positionV>
            <wp:extent cx="1895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363" w:lineRule="exact"/>
        <w:rPr>
          <w:sz w:val="20"/>
          <w:szCs w:val="20"/>
          <w:color w:val="auto"/>
        </w:rPr>
      </w:pPr>
    </w:p>
    <w:p>
      <w:pPr>
        <w:ind w:left="180" w:right="120" w:hanging="161"/>
        <w:spacing w:after="0" w:line="236"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number, or the Form or Schedule and the date of its filing.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Amount Previously Paid: $5,628,444.95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Form or Registration No.: Form F-4 (Registration No. 333-125037)</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Filing Party: Royal Dutch Shell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Filed: May 18, 2005</w:t>
      </w:r>
    </w:p>
    <w:p>
      <w:pPr>
        <w:spacing w:after="0" w:line="219" w:lineRule="exact"/>
        <w:rPr>
          <w:sz w:val="20"/>
          <w:szCs w:val="20"/>
          <w:color w:val="auto"/>
        </w:rPr>
      </w:pPr>
    </w:p>
    <w:p>
      <w:pPr>
        <w:ind w:right="2480" w:firstLine="8"/>
        <w:spacing w:after="0" w:line="542" w:lineRule="auto"/>
        <w:tabs>
          <w:tab w:leader="none" w:pos="23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Check the box if the filing relates solely to preliminary communications made before the commencement of a tender offer. Check the appropriate boxes below to designate any transactions to which the statement relates:</w:t>
      </w:r>
    </w:p>
    <w:p>
      <w:pPr>
        <w:spacing w:after="0" w:line="1"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Third-party tender offer subject to Rule 14d-1.</w:t>
      </w:r>
    </w:p>
    <w:p>
      <w:pPr>
        <w:spacing w:after="0" w:line="258" w:lineRule="exact"/>
        <w:rPr>
          <w:sz w:val="20"/>
          <w:szCs w:val="20"/>
          <w:color w:val="auto"/>
        </w:rPr>
      </w:pP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Issuer tender offer subject to Rule 13e-4.</w:t>
      </w:r>
    </w:p>
    <w:p>
      <w:pPr>
        <w:spacing w:after="0" w:line="252" w:lineRule="exact"/>
        <w:rPr>
          <w:rFonts w:ascii="Arial" w:cs="Arial" w:eastAsia="Arial" w:hAnsi="Arial"/>
          <w:sz w:val="18"/>
          <w:szCs w:val="18"/>
          <w:color w:val="auto"/>
        </w:rPr>
      </w:pP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Going-private transaction subject to Rule 13e-3.</w:t>
      </w:r>
    </w:p>
    <w:p>
      <w:pPr>
        <w:spacing w:after="0" w:line="252" w:lineRule="exact"/>
        <w:rPr>
          <w:rFonts w:ascii="Arial" w:cs="Arial" w:eastAsia="Arial" w:hAnsi="Arial"/>
          <w:sz w:val="18"/>
          <w:szCs w:val="18"/>
          <w:color w:val="auto"/>
        </w:rPr>
      </w:pP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Amendment to Schedule 13D under Rule 13d-2.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Check the following box if the filing is a final amendment reporting the results of the tender offer: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3" w:name="page4"/>
    <w:bookmarkEnd w:id="3"/>
    <w:p>
      <w:pPr>
        <w:ind w:right="40" w:firstLine="270"/>
        <w:spacing w:after="0" w:line="291" w:lineRule="auto"/>
        <w:rPr>
          <w:sz w:val="20"/>
          <w:szCs w:val="20"/>
          <w:color w:val="auto"/>
        </w:rPr>
      </w:pPr>
      <w:r>
        <w:rPr>
          <w:rFonts w:ascii="Arial" w:cs="Arial" w:eastAsia="Arial" w:hAnsi="Arial"/>
          <w:sz w:val="16"/>
          <w:szCs w:val="16"/>
          <w:color w:val="auto"/>
        </w:rPr>
        <w:t>This Amendment No. 2 amends and restates Item 12 (but no other Item) of the Tender Offer Statement on Schedule TO (the “Schedule TO”) originally filed on May 19, 2005 by Royal Dutch Shell plc (“Royal Dutch Shell”) as set out below. The Schedule TO relates to the exchange offer (the “Offer”) made by Royal Dutch Shell to exchange all of the issued and outstanding ordinary shares of the Royal Dutch Petroleum Company (“Royal Dutch”) on the basis of 2 Royal Dutch Shell Class A ordinary shares (the “Class A Shares”) for each Royal Dutch ordinary share in bearer or Hague registry form or 1 Royal Dutch Shell American depositary share (representing two Class A Shares) for each Royal Dutch ordinary share in New York registry form. The terms and conditions of the Offer are set forth in a prospectus of Royal Dutch Shell dated May 19, 2005 (the “Prospectus”). This Amendment No. 2 is being filed on behalf of Royal Dutch Shell.</w:t>
      </w:r>
    </w:p>
    <w:p>
      <w:pPr>
        <w:spacing w:after="0" w:line="16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Exhibits.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(a)(1)(i)</w:t>
            </w:r>
          </w:p>
        </w:tc>
        <w:tc>
          <w:tcPr>
            <w:tcW w:w="9660" w:type="dxa"/>
            <w:vAlign w:val="bottom"/>
          </w:tcPr>
          <w:p>
            <w:pPr>
              <w:ind w:left="980"/>
              <w:spacing w:after="0"/>
              <w:rPr>
                <w:sz w:val="20"/>
                <w:szCs w:val="20"/>
                <w:color w:val="auto"/>
              </w:rPr>
            </w:pPr>
            <w:r>
              <w:rPr>
                <w:rFonts w:ascii="Arial" w:cs="Arial" w:eastAsia="Arial" w:hAnsi="Arial"/>
                <w:sz w:val="18"/>
                <w:szCs w:val="18"/>
                <w:color w:val="auto"/>
                <w:w w:val="89"/>
              </w:rPr>
              <w:t>Prospectus dated May 19, 2005 (incorporated by reference to Royal Dutch Shell’s registration statement on Form F-4 filed</w:t>
            </w:r>
          </w:p>
        </w:tc>
      </w:tr>
      <w:tr>
        <w:trPr>
          <w:trHeight w:val="216"/>
        </w:trPr>
        <w:tc>
          <w:tcPr>
            <w:tcW w:w="1760" w:type="dxa"/>
            <w:vAlign w:val="bottom"/>
          </w:tcPr>
          <w:p>
            <w:pPr>
              <w:spacing w:after="0"/>
              <w:rPr>
                <w:sz w:val="18"/>
                <w:szCs w:val="18"/>
                <w:color w:val="auto"/>
              </w:rPr>
            </w:pPr>
          </w:p>
        </w:tc>
        <w:tc>
          <w:tcPr>
            <w:tcW w:w="9660" w:type="dxa"/>
            <w:vAlign w:val="bottom"/>
          </w:tcPr>
          <w:p>
            <w:pPr>
              <w:ind w:left="980"/>
              <w:spacing w:after="0"/>
              <w:rPr>
                <w:sz w:val="20"/>
                <w:szCs w:val="20"/>
                <w:color w:val="auto"/>
              </w:rPr>
            </w:pPr>
            <w:r>
              <w:rPr>
                <w:rFonts w:ascii="Arial" w:cs="Arial" w:eastAsia="Arial" w:hAnsi="Arial"/>
                <w:sz w:val="18"/>
                <w:szCs w:val="18"/>
                <w:color w:val="auto"/>
              </w:rPr>
              <w:t>on May 18, 2005, Registration No. 333-125037 (the “Registration Statement”).</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(a)(1)(ii)</w:t>
            </w:r>
          </w:p>
        </w:tc>
        <w:tc>
          <w:tcPr>
            <w:tcW w:w="9660" w:type="dxa"/>
            <w:vAlign w:val="bottom"/>
          </w:tcPr>
          <w:p>
            <w:pPr>
              <w:ind w:left="980"/>
              <w:spacing w:after="0"/>
              <w:rPr>
                <w:sz w:val="20"/>
                <w:szCs w:val="20"/>
                <w:color w:val="auto"/>
              </w:rPr>
            </w:pPr>
            <w:r>
              <w:rPr>
                <w:rFonts w:ascii="Arial" w:cs="Arial" w:eastAsia="Arial" w:hAnsi="Arial"/>
                <w:sz w:val="18"/>
                <w:szCs w:val="18"/>
                <w:color w:val="auto"/>
              </w:rPr>
              <w:t>Form of Letter of Transmittal (incorporated by reference to Exhibit 99.1 to the Registration Statement).</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(a)(1)(iii)</w:t>
            </w:r>
          </w:p>
        </w:tc>
        <w:tc>
          <w:tcPr>
            <w:tcW w:w="9660" w:type="dxa"/>
            <w:vAlign w:val="bottom"/>
          </w:tcPr>
          <w:p>
            <w:pPr>
              <w:ind w:left="980"/>
              <w:spacing w:after="0"/>
              <w:rPr>
                <w:sz w:val="20"/>
                <w:szCs w:val="20"/>
                <w:color w:val="auto"/>
              </w:rPr>
            </w:pPr>
            <w:r>
              <w:rPr>
                <w:rFonts w:ascii="Arial" w:cs="Arial" w:eastAsia="Arial" w:hAnsi="Arial"/>
                <w:sz w:val="18"/>
                <w:szCs w:val="18"/>
                <w:color w:val="auto"/>
                <w:w w:val="97"/>
              </w:rPr>
              <w:t>Form of Notice of Guaranteed Delivery (incorporated by reference to Exhibit 99.2 to the Registration Statement).</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(a)(1)(iv)</w:t>
            </w:r>
          </w:p>
        </w:tc>
        <w:tc>
          <w:tcPr>
            <w:tcW w:w="9660" w:type="dxa"/>
            <w:vAlign w:val="bottom"/>
          </w:tcPr>
          <w:p>
            <w:pPr>
              <w:ind w:left="980"/>
              <w:spacing w:after="0"/>
              <w:rPr>
                <w:sz w:val="20"/>
                <w:szCs w:val="20"/>
                <w:color w:val="auto"/>
              </w:rPr>
            </w:pPr>
            <w:r>
              <w:rPr>
                <w:rFonts w:ascii="Arial" w:cs="Arial" w:eastAsia="Arial" w:hAnsi="Arial"/>
                <w:sz w:val="18"/>
                <w:szCs w:val="18"/>
                <w:color w:val="auto"/>
                <w:w w:val="89"/>
              </w:rPr>
              <w:t>Form of Letter to Brokers, Dealers, Commercial Banks, Trust Companies and Other Nominees (incorporated by reference</w:t>
            </w:r>
          </w:p>
        </w:tc>
      </w:tr>
      <w:tr>
        <w:trPr>
          <w:trHeight w:val="216"/>
        </w:trPr>
        <w:tc>
          <w:tcPr>
            <w:tcW w:w="1760" w:type="dxa"/>
            <w:vAlign w:val="bottom"/>
          </w:tcPr>
          <w:p>
            <w:pPr>
              <w:spacing w:after="0"/>
              <w:rPr>
                <w:sz w:val="18"/>
                <w:szCs w:val="18"/>
                <w:color w:val="auto"/>
              </w:rPr>
            </w:pPr>
          </w:p>
        </w:tc>
        <w:tc>
          <w:tcPr>
            <w:tcW w:w="9660" w:type="dxa"/>
            <w:vAlign w:val="bottom"/>
          </w:tcPr>
          <w:p>
            <w:pPr>
              <w:ind w:left="980"/>
              <w:spacing w:after="0"/>
              <w:rPr>
                <w:sz w:val="20"/>
                <w:szCs w:val="20"/>
                <w:color w:val="auto"/>
              </w:rPr>
            </w:pPr>
            <w:r>
              <w:rPr>
                <w:rFonts w:ascii="Arial" w:cs="Arial" w:eastAsia="Arial" w:hAnsi="Arial"/>
                <w:sz w:val="18"/>
                <w:szCs w:val="18"/>
                <w:color w:val="auto"/>
              </w:rPr>
              <w:t>to Exhibit 99.3 to the Registration Statement).</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(a)(1)(v)</w:t>
            </w:r>
          </w:p>
        </w:tc>
        <w:tc>
          <w:tcPr>
            <w:tcW w:w="9660" w:type="dxa"/>
            <w:vAlign w:val="bottom"/>
          </w:tcPr>
          <w:p>
            <w:pPr>
              <w:ind w:left="980"/>
              <w:spacing w:after="0"/>
              <w:rPr>
                <w:sz w:val="20"/>
                <w:szCs w:val="20"/>
                <w:color w:val="auto"/>
              </w:rPr>
            </w:pPr>
            <w:r>
              <w:rPr>
                <w:rFonts w:ascii="Arial" w:cs="Arial" w:eastAsia="Arial" w:hAnsi="Arial"/>
                <w:sz w:val="18"/>
                <w:szCs w:val="18"/>
                <w:color w:val="auto"/>
                <w:w w:val="96"/>
              </w:rPr>
              <w:t>Form of Letter to Clients for use by Brokers, Dealers, Commercial Banks, Trust Companies and Other Nominees</w:t>
            </w:r>
          </w:p>
        </w:tc>
      </w:tr>
      <w:tr>
        <w:trPr>
          <w:trHeight w:val="216"/>
        </w:trPr>
        <w:tc>
          <w:tcPr>
            <w:tcW w:w="1760" w:type="dxa"/>
            <w:vAlign w:val="bottom"/>
          </w:tcPr>
          <w:p>
            <w:pPr>
              <w:spacing w:after="0"/>
              <w:rPr>
                <w:sz w:val="18"/>
                <w:szCs w:val="18"/>
                <w:color w:val="auto"/>
              </w:rPr>
            </w:pPr>
          </w:p>
        </w:tc>
        <w:tc>
          <w:tcPr>
            <w:tcW w:w="9660" w:type="dxa"/>
            <w:vAlign w:val="bottom"/>
          </w:tcPr>
          <w:p>
            <w:pPr>
              <w:ind w:left="980"/>
              <w:spacing w:after="0"/>
              <w:rPr>
                <w:sz w:val="20"/>
                <w:szCs w:val="20"/>
                <w:color w:val="auto"/>
              </w:rPr>
            </w:pPr>
            <w:r>
              <w:rPr>
                <w:rFonts w:ascii="Arial" w:cs="Arial" w:eastAsia="Arial" w:hAnsi="Arial"/>
                <w:sz w:val="18"/>
                <w:szCs w:val="18"/>
                <w:color w:val="auto"/>
              </w:rPr>
              <w:t>(incorporated by reference to Exhibit 99.4 to the Registration Statement).</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(a)(1)(vi)</w:t>
            </w:r>
          </w:p>
        </w:tc>
        <w:tc>
          <w:tcPr>
            <w:tcW w:w="9660" w:type="dxa"/>
            <w:vAlign w:val="bottom"/>
          </w:tcPr>
          <w:p>
            <w:pPr>
              <w:ind w:left="980"/>
              <w:spacing w:after="0"/>
              <w:rPr>
                <w:sz w:val="20"/>
                <w:szCs w:val="20"/>
                <w:color w:val="auto"/>
              </w:rPr>
            </w:pPr>
            <w:r>
              <w:rPr>
                <w:rFonts w:ascii="Arial" w:cs="Arial" w:eastAsia="Arial" w:hAnsi="Arial"/>
                <w:sz w:val="18"/>
                <w:szCs w:val="18"/>
                <w:color w:val="auto"/>
                <w:w w:val="90"/>
              </w:rPr>
              <w:t>Form of Acceptance Form and Deed of Transfer of Royal Dutch Hague Registered Shares (incorporated by reference to</w:t>
            </w:r>
          </w:p>
        </w:tc>
      </w:tr>
      <w:tr>
        <w:trPr>
          <w:trHeight w:val="216"/>
        </w:trPr>
        <w:tc>
          <w:tcPr>
            <w:tcW w:w="1760" w:type="dxa"/>
            <w:vAlign w:val="bottom"/>
          </w:tcPr>
          <w:p>
            <w:pPr>
              <w:spacing w:after="0"/>
              <w:rPr>
                <w:sz w:val="18"/>
                <w:szCs w:val="18"/>
                <w:color w:val="auto"/>
              </w:rPr>
            </w:pPr>
          </w:p>
        </w:tc>
        <w:tc>
          <w:tcPr>
            <w:tcW w:w="9660" w:type="dxa"/>
            <w:vAlign w:val="bottom"/>
          </w:tcPr>
          <w:p>
            <w:pPr>
              <w:ind w:left="980"/>
              <w:spacing w:after="0"/>
              <w:rPr>
                <w:sz w:val="20"/>
                <w:szCs w:val="20"/>
                <w:color w:val="auto"/>
              </w:rPr>
            </w:pPr>
            <w:r>
              <w:rPr>
                <w:rFonts w:ascii="Arial" w:cs="Arial" w:eastAsia="Arial" w:hAnsi="Arial"/>
                <w:sz w:val="18"/>
                <w:szCs w:val="18"/>
                <w:color w:val="auto"/>
              </w:rPr>
              <w:t>Exhibit 99.5 to the Registration Statement).</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(a)(1)(vii)</w:t>
            </w:r>
          </w:p>
        </w:tc>
        <w:tc>
          <w:tcPr>
            <w:tcW w:w="9660" w:type="dxa"/>
            <w:vAlign w:val="bottom"/>
          </w:tcPr>
          <w:p>
            <w:pPr>
              <w:ind w:left="980"/>
              <w:spacing w:after="0"/>
              <w:rPr>
                <w:sz w:val="20"/>
                <w:szCs w:val="20"/>
                <w:color w:val="auto"/>
              </w:rPr>
            </w:pPr>
            <w:r>
              <w:rPr>
                <w:rFonts w:ascii="Arial" w:cs="Arial" w:eastAsia="Arial" w:hAnsi="Arial"/>
                <w:sz w:val="18"/>
                <w:szCs w:val="18"/>
                <w:color w:val="auto"/>
                <w:w w:val="88"/>
              </w:rPr>
              <w:t>Press announcement of final proposals for the recommended unification of Royal Dutch and Shell Transport dated May 19,</w:t>
            </w:r>
          </w:p>
        </w:tc>
      </w:tr>
      <w:tr>
        <w:trPr>
          <w:trHeight w:val="216"/>
        </w:trPr>
        <w:tc>
          <w:tcPr>
            <w:tcW w:w="1760" w:type="dxa"/>
            <w:vAlign w:val="bottom"/>
          </w:tcPr>
          <w:p>
            <w:pPr>
              <w:spacing w:after="0"/>
              <w:rPr>
                <w:sz w:val="18"/>
                <w:szCs w:val="18"/>
                <w:color w:val="auto"/>
              </w:rPr>
            </w:pPr>
          </w:p>
        </w:tc>
        <w:tc>
          <w:tcPr>
            <w:tcW w:w="9660" w:type="dxa"/>
            <w:vAlign w:val="bottom"/>
          </w:tcPr>
          <w:p>
            <w:pPr>
              <w:ind w:left="980"/>
              <w:spacing w:after="0"/>
              <w:rPr>
                <w:sz w:val="20"/>
                <w:szCs w:val="20"/>
                <w:color w:val="auto"/>
              </w:rPr>
            </w:pPr>
            <w:r>
              <w:rPr>
                <w:rFonts w:ascii="Arial" w:cs="Arial" w:eastAsia="Arial" w:hAnsi="Arial"/>
                <w:sz w:val="18"/>
                <w:szCs w:val="18"/>
                <w:color w:val="auto"/>
                <w:w w:val="89"/>
              </w:rPr>
              <w:t>2005 (incorporated by reference to the filing made by Royal Dutch Shell on May 19, 2005 pursuant to Rule 425 under the</w:t>
            </w:r>
          </w:p>
        </w:tc>
      </w:tr>
      <w:tr>
        <w:trPr>
          <w:trHeight w:val="216"/>
        </w:trPr>
        <w:tc>
          <w:tcPr>
            <w:tcW w:w="1760" w:type="dxa"/>
            <w:vAlign w:val="bottom"/>
          </w:tcPr>
          <w:p>
            <w:pPr>
              <w:spacing w:after="0"/>
              <w:rPr>
                <w:sz w:val="18"/>
                <w:szCs w:val="18"/>
                <w:color w:val="auto"/>
              </w:rPr>
            </w:pPr>
          </w:p>
        </w:tc>
        <w:tc>
          <w:tcPr>
            <w:tcW w:w="9660" w:type="dxa"/>
            <w:vAlign w:val="bottom"/>
          </w:tcPr>
          <w:p>
            <w:pPr>
              <w:ind w:left="980"/>
              <w:spacing w:after="0"/>
              <w:rPr>
                <w:sz w:val="20"/>
                <w:szCs w:val="20"/>
                <w:color w:val="auto"/>
              </w:rPr>
            </w:pPr>
            <w:r>
              <w:rPr>
                <w:rFonts w:ascii="Arial" w:cs="Arial" w:eastAsia="Arial" w:hAnsi="Arial"/>
                <w:sz w:val="18"/>
                <w:szCs w:val="18"/>
                <w:color w:val="auto"/>
                <w:w w:val="89"/>
              </w:rPr>
              <w:t>Securities Act of 1933, as amended, and deemed filed pursuant to Rule 14d-2 of the Securities Exchange Act of 1934, as</w:t>
            </w:r>
          </w:p>
        </w:tc>
      </w:tr>
      <w:tr>
        <w:trPr>
          <w:trHeight w:val="216"/>
        </w:trPr>
        <w:tc>
          <w:tcPr>
            <w:tcW w:w="1760" w:type="dxa"/>
            <w:vAlign w:val="bottom"/>
          </w:tcPr>
          <w:p>
            <w:pPr>
              <w:spacing w:after="0"/>
              <w:rPr>
                <w:sz w:val="18"/>
                <w:szCs w:val="18"/>
                <w:color w:val="auto"/>
              </w:rPr>
            </w:pPr>
          </w:p>
        </w:tc>
        <w:tc>
          <w:tcPr>
            <w:tcW w:w="9660" w:type="dxa"/>
            <w:vAlign w:val="bottom"/>
          </w:tcPr>
          <w:p>
            <w:pPr>
              <w:ind w:left="980"/>
              <w:spacing w:after="0"/>
              <w:rPr>
                <w:sz w:val="20"/>
                <w:szCs w:val="20"/>
                <w:color w:val="auto"/>
              </w:rPr>
            </w:pPr>
            <w:r>
              <w:rPr>
                <w:rFonts w:ascii="Arial" w:cs="Arial" w:eastAsia="Arial" w:hAnsi="Arial"/>
                <w:sz w:val="18"/>
                <w:szCs w:val="18"/>
                <w:color w:val="auto"/>
              </w:rPr>
              <w:t>amended).</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(a)(1)(viii)</w:t>
            </w:r>
          </w:p>
        </w:tc>
        <w:tc>
          <w:tcPr>
            <w:tcW w:w="9660" w:type="dxa"/>
            <w:vAlign w:val="bottom"/>
          </w:tcPr>
          <w:p>
            <w:pPr>
              <w:ind w:left="980"/>
              <w:spacing w:after="0"/>
              <w:rPr>
                <w:sz w:val="20"/>
                <w:szCs w:val="20"/>
                <w:color w:val="auto"/>
              </w:rPr>
            </w:pPr>
            <w:r>
              <w:rPr>
                <w:rFonts w:ascii="Arial" w:cs="Arial" w:eastAsia="Arial" w:hAnsi="Arial"/>
                <w:sz w:val="18"/>
                <w:szCs w:val="18"/>
                <w:color w:val="auto"/>
                <w:w w:val="91"/>
              </w:rPr>
              <w:t>Advertisement/ announcement made in Austria on May 19, 2005 (incorporated by reference to the filing made by Royal</w:t>
            </w:r>
          </w:p>
        </w:tc>
      </w:tr>
      <w:tr>
        <w:trPr>
          <w:trHeight w:val="216"/>
        </w:trPr>
        <w:tc>
          <w:tcPr>
            <w:tcW w:w="1760" w:type="dxa"/>
            <w:vAlign w:val="bottom"/>
          </w:tcPr>
          <w:p>
            <w:pPr>
              <w:spacing w:after="0"/>
              <w:rPr>
                <w:sz w:val="18"/>
                <w:szCs w:val="18"/>
                <w:color w:val="auto"/>
              </w:rPr>
            </w:pPr>
          </w:p>
        </w:tc>
        <w:tc>
          <w:tcPr>
            <w:tcW w:w="9660" w:type="dxa"/>
            <w:vAlign w:val="bottom"/>
          </w:tcPr>
          <w:p>
            <w:pPr>
              <w:ind w:left="980"/>
              <w:spacing w:after="0"/>
              <w:rPr>
                <w:sz w:val="20"/>
                <w:szCs w:val="20"/>
                <w:color w:val="auto"/>
              </w:rPr>
            </w:pPr>
            <w:r>
              <w:rPr>
                <w:rFonts w:ascii="Arial" w:cs="Arial" w:eastAsia="Arial" w:hAnsi="Arial"/>
                <w:sz w:val="18"/>
                <w:szCs w:val="18"/>
                <w:color w:val="auto"/>
                <w:w w:val="93"/>
              </w:rPr>
              <w:t>Dutch Shell on May 19, 2005 pursuant to Rule 425 under the Securities Act of 1933, as amended, and deemed filed</w:t>
            </w:r>
          </w:p>
        </w:tc>
      </w:tr>
      <w:tr>
        <w:trPr>
          <w:trHeight w:val="216"/>
        </w:trPr>
        <w:tc>
          <w:tcPr>
            <w:tcW w:w="1760" w:type="dxa"/>
            <w:vAlign w:val="bottom"/>
          </w:tcPr>
          <w:p>
            <w:pPr>
              <w:spacing w:after="0"/>
              <w:rPr>
                <w:sz w:val="18"/>
                <w:szCs w:val="18"/>
                <w:color w:val="auto"/>
              </w:rPr>
            </w:pPr>
          </w:p>
        </w:tc>
        <w:tc>
          <w:tcPr>
            <w:tcW w:w="9660" w:type="dxa"/>
            <w:vAlign w:val="bottom"/>
          </w:tcPr>
          <w:p>
            <w:pPr>
              <w:ind w:left="980"/>
              <w:spacing w:after="0"/>
              <w:rPr>
                <w:sz w:val="20"/>
                <w:szCs w:val="20"/>
                <w:color w:val="auto"/>
              </w:rPr>
            </w:pPr>
            <w:r>
              <w:rPr>
                <w:rFonts w:ascii="Arial" w:cs="Arial" w:eastAsia="Arial" w:hAnsi="Arial"/>
                <w:sz w:val="18"/>
                <w:szCs w:val="18"/>
                <w:color w:val="auto"/>
              </w:rPr>
              <w:t>pursuant to Rule 14d-2 of the Securities Exchange Act of 1934, as amended).</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(a)(1)(ix)</w:t>
            </w:r>
          </w:p>
        </w:tc>
        <w:tc>
          <w:tcPr>
            <w:tcW w:w="9660" w:type="dxa"/>
            <w:vAlign w:val="bottom"/>
          </w:tcPr>
          <w:p>
            <w:pPr>
              <w:ind w:left="980"/>
              <w:spacing w:after="0"/>
              <w:rPr>
                <w:sz w:val="20"/>
                <w:szCs w:val="20"/>
                <w:color w:val="auto"/>
              </w:rPr>
            </w:pPr>
            <w:r>
              <w:rPr>
                <w:rFonts w:ascii="Arial" w:cs="Arial" w:eastAsia="Arial" w:hAnsi="Arial"/>
                <w:sz w:val="18"/>
                <w:szCs w:val="18"/>
                <w:color w:val="auto"/>
                <w:w w:val="89"/>
              </w:rPr>
              <w:t>Advertisement/ announcement made in The Netherlands on May 19, 2005 (incorporated by reference to the filing made by</w:t>
            </w:r>
          </w:p>
        </w:tc>
      </w:tr>
      <w:tr>
        <w:trPr>
          <w:trHeight w:val="216"/>
        </w:trPr>
        <w:tc>
          <w:tcPr>
            <w:tcW w:w="1760" w:type="dxa"/>
            <w:vAlign w:val="bottom"/>
          </w:tcPr>
          <w:p>
            <w:pPr>
              <w:spacing w:after="0"/>
              <w:rPr>
                <w:sz w:val="18"/>
                <w:szCs w:val="18"/>
                <w:color w:val="auto"/>
              </w:rPr>
            </w:pPr>
          </w:p>
        </w:tc>
        <w:tc>
          <w:tcPr>
            <w:tcW w:w="9660" w:type="dxa"/>
            <w:vAlign w:val="bottom"/>
          </w:tcPr>
          <w:p>
            <w:pPr>
              <w:ind w:left="980"/>
              <w:spacing w:after="0"/>
              <w:rPr>
                <w:sz w:val="20"/>
                <w:szCs w:val="20"/>
                <w:color w:val="auto"/>
              </w:rPr>
            </w:pPr>
            <w:r>
              <w:rPr>
                <w:rFonts w:ascii="Arial" w:cs="Arial" w:eastAsia="Arial" w:hAnsi="Arial"/>
                <w:sz w:val="18"/>
                <w:szCs w:val="18"/>
                <w:color w:val="auto"/>
                <w:w w:val="89"/>
              </w:rPr>
              <w:t>Royal Dutch Shell on May 20, 2005 pursuant to Rule 425 under the Securities Act of 1933, as amended, and deemed filed</w:t>
            </w:r>
          </w:p>
        </w:tc>
      </w:tr>
      <w:tr>
        <w:trPr>
          <w:trHeight w:val="216"/>
        </w:trPr>
        <w:tc>
          <w:tcPr>
            <w:tcW w:w="1760" w:type="dxa"/>
            <w:vAlign w:val="bottom"/>
          </w:tcPr>
          <w:p>
            <w:pPr>
              <w:spacing w:after="0"/>
              <w:rPr>
                <w:sz w:val="18"/>
                <w:szCs w:val="18"/>
                <w:color w:val="auto"/>
              </w:rPr>
            </w:pPr>
          </w:p>
        </w:tc>
        <w:tc>
          <w:tcPr>
            <w:tcW w:w="9660" w:type="dxa"/>
            <w:vAlign w:val="bottom"/>
          </w:tcPr>
          <w:p>
            <w:pPr>
              <w:ind w:left="980"/>
              <w:spacing w:after="0"/>
              <w:rPr>
                <w:sz w:val="20"/>
                <w:szCs w:val="20"/>
                <w:color w:val="auto"/>
              </w:rPr>
            </w:pPr>
            <w:r>
              <w:rPr>
                <w:rFonts w:ascii="Arial" w:cs="Arial" w:eastAsia="Arial" w:hAnsi="Arial"/>
                <w:sz w:val="18"/>
                <w:szCs w:val="18"/>
                <w:color w:val="auto"/>
              </w:rPr>
              <w:t>pursuant to Rule 14d-2 of the Securities Exchange Act of 1934, as amended).</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(a)(1)(x)</w:t>
            </w:r>
          </w:p>
        </w:tc>
        <w:tc>
          <w:tcPr>
            <w:tcW w:w="9660" w:type="dxa"/>
            <w:vAlign w:val="bottom"/>
          </w:tcPr>
          <w:p>
            <w:pPr>
              <w:ind w:left="980"/>
              <w:spacing w:after="0"/>
              <w:rPr>
                <w:sz w:val="20"/>
                <w:szCs w:val="20"/>
                <w:color w:val="auto"/>
              </w:rPr>
            </w:pPr>
            <w:r>
              <w:rPr>
                <w:rFonts w:ascii="Arial" w:cs="Arial" w:eastAsia="Arial" w:hAnsi="Arial"/>
                <w:sz w:val="18"/>
                <w:szCs w:val="18"/>
                <w:color w:val="auto"/>
                <w:w w:val="92"/>
              </w:rPr>
              <w:t>Advertisement/ announcement made in Luxembourg on May 19, 2005 (incorporated by reference to the filing made by</w:t>
            </w:r>
          </w:p>
        </w:tc>
      </w:tr>
      <w:tr>
        <w:trPr>
          <w:trHeight w:val="216"/>
        </w:trPr>
        <w:tc>
          <w:tcPr>
            <w:tcW w:w="1760" w:type="dxa"/>
            <w:vAlign w:val="bottom"/>
          </w:tcPr>
          <w:p>
            <w:pPr>
              <w:spacing w:after="0"/>
              <w:rPr>
                <w:sz w:val="18"/>
                <w:szCs w:val="18"/>
                <w:color w:val="auto"/>
              </w:rPr>
            </w:pPr>
          </w:p>
        </w:tc>
        <w:tc>
          <w:tcPr>
            <w:tcW w:w="9660" w:type="dxa"/>
            <w:vAlign w:val="bottom"/>
          </w:tcPr>
          <w:p>
            <w:pPr>
              <w:ind w:left="980"/>
              <w:spacing w:after="0"/>
              <w:rPr>
                <w:sz w:val="20"/>
                <w:szCs w:val="20"/>
                <w:color w:val="auto"/>
              </w:rPr>
            </w:pPr>
            <w:r>
              <w:rPr>
                <w:rFonts w:ascii="Arial" w:cs="Arial" w:eastAsia="Arial" w:hAnsi="Arial"/>
                <w:sz w:val="18"/>
                <w:szCs w:val="18"/>
                <w:color w:val="auto"/>
                <w:w w:val="89"/>
              </w:rPr>
              <w:t>Royal Dutch Shell on May 20, 2005 pursuant to Rule 425 under the Securities Act of 1933, as amended, and deemed filed</w:t>
            </w:r>
          </w:p>
        </w:tc>
      </w:tr>
      <w:tr>
        <w:trPr>
          <w:trHeight w:val="216"/>
        </w:trPr>
        <w:tc>
          <w:tcPr>
            <w:tcW w:w="1760" w:type="dxa"/>
            <w:vAlign w:val="bottom"/>
          </w:tcPr>
          <w:p>
            <w:pPr>
              <w:spacing w:after="0"/>
              <w:rPr>
                <w:sz w:val="18"/>
                <w:szCs w:val="18"/>
                <w:color w:val="auto"/>
              </w:rPr>
            </w:pPr>
          </w:p>
        </w:tc>
        <w:tc>
          <w:tcPr>
            <w:tcW w:w="9660" w:type="dxa"/>
            <w:vAlign w:val="bottom"/>
          </w:tcPr>
          <w:p>
            <w:pPr>
              <w:ind w:left="980"/>
              <w:spacing w:after="0"/>
              <w:rPr>
                <w:sz w:val="20"/>
                <w:szCs w:val="20"/>
                <w:color w:val="auto"/>
              </w:rPr>
            </w:pPr>
            <w:r>
              <w:rPr>
                <w:rFonts w:ascii="Arial" w:cs="Arial" w:eastAsia="Arial" w:hAnsi="Arial"/>
                <w:sz w:val="18"/>
                <w:szCs w:val="18"/>
                <w:color w:val="auto"/>
              </w:rPr>
              <w:t>pursuant to Rule 14d-2 of the Securities Exchange Act of 1934, as amended).</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(a)(1)(xi)</w:t>
            </w:r>
          </w:p>
        </w:tc>
        <w:tc>
          <w:tcPr>
            <w:tcW w:w="9660" w:type="dxa"/>
            <w:vAlign w:val="bottom"/>
          </w:tcPr>
          <w:p>
            <w:pPr>
              <w:ind w:left="980"/>
              <w:spacing w:after="0"/>
              <w:rPr>
                <w:sz w:val="20"/>
                <w:szCs w:val="20"/>
                <w:color w:val="auto"/>
              </w:rPr>
            </w:pPr>
            <w:r>
              <w:rPr>
                <w:rFonts w:ascii="Arial" w:cs="Arial" w:eastAsia="Arial" w:hAnsi="Arial"/>
                <w:sz w:val="18"/>
                <w:szCs w:val="18"/>
                <w:color w:val="auto"/>
                <w:w w:val="89"/>
              </w:rPr>
              <w:t>Advertisement/ announcement made in Germany on May 19, 2005 (incorporated by reference to the filing made by Royal</w:t>
            </w:r>
          </w:p>
        </w:tc>
      </w:tr>
      <w:tr>
        <w:trPr>
          <w:trHeight w:val="216"/>
        </w:trPr>
        <w:tc>
          <w:tcPr>
            <w:tcW w:w="1760" w:type="dxa"/>
            <w:vAlign w:val="bottom"/>
          </w:tcPr>
          <w:p>
            <w:pPr>
              <w:spacing w:after="0"/>
              <w:rPr>
                <w:sz w:val="18"/>
                <w:szCs w:val="18"/>
                <w:color w:val="auto"/>
              </w:rPr>
            </w:pPr>
          </w:p>
        </w:tc>
        <w:tc>
          <w:tcPr>
            <w:tcW w:w="9660" w:type="dxa"/>
            <w:vAlign w:val="bottom"/>
          </w:tcPr>
          <w:p>
            <w:pPr>
              <w:ind w:left="980"/>
              <w:spacing w:after="0"/>
              <w:rPr>
                <w:sz w:val="20"/>
                <w:szCs w:val="20"/>
                <w:color w:val="auto"/>
              </w:rPr>
            </w:pPr>
            <w:r>
              <w:rPr>
                <w:rFonts w:ascii="Arial" w:cs="Arial" w:eastAsia="Arial" w:hAnsi="Arial"/>
                <w:sz w:val="18"/>
                <w:szCs w:val="18"/>
                <w:color w:val="auto"/>
                <w:w w:val="93"/>
              </w:rPr>
              <w:t>Dutch Shell on May 20, 2005 pursuant to Rule 425 under the Securities Act of 1933, as amended, and deemed filed</w:t>
            </w:r>
          </w:p>
        </w:tc>
      </w:tr>
      <w:tr>
        <w:trPr>
          <w:trHeight w:val="216"/>
        </w:trPr>
        <w:tc>
          <w:tcPr>
            <w:tcW w:w="1760" w:type="dxa"/>
            <w:vAlign w:val="bottom"/>
          </w:tcPr>
          <w:p>
            <w:pPr>
              <w:spacing w:after="0"/>
              <w:rPr>
                <w:sz w:val="18"/>
                <w:szCs w:val="18"/>
                <w:color w:val="auto"/>
              </w:rPr>
            </w:pPr>
          </w:p>
        </w:tc>
        <w:tc>
          <w:tcPr>
            <w:tcW w:w="9660" w:type="dxa"/>
            <w:vAlign w:val="bottom"/>
          </w:tcPr>
          <w:p>
            <w:pPr>
              <w:ind w:left="980"/>
              <w:spacing w:after="0"/>
              <w:rPr>
                <w:sz w:val="20"/>
                <w:szCs w:val="20"/>
                <w:color w:val="auto"/>
              </w:rPr>
            </w:pPr>
            <w:r>
              <w:rPr>
                <w:rFonts w:ascii="Arial" w:cs="Arial" w:eastAsia="Arial" w:hAnsi="Arial"/>
                <w:sz w:val="18"/>
                <w:szCs w:val="18"/>
                <w:color w:val="auto"/>
              </w:rPr>
              <w:t>pursuant to Rule 14d-2 of the Securities Exchange Act of 1934, as amended).</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(a)(1)(xii)</w:t>
            </w:r>
          </w:p>
        </w:tc>
        <w:tc>
          <w:tcPr>
            <w:tcW w:w="9660" w:type="dxa"/>
            <w:vAlign w:val="bottom"/>
          </w:tcPr>
          <w:p>
            <w:pPr>
              <w:ind w:left="980"/>
              <w:spacing w:after="0"/>
              <w:rPr>
                <w:sz w:val="20"/>
                <w:szCs w:val="20"/>
                <w:color w:val="auto"/>
              </w:rPr>
            </w:pPr>
            <w:r>
              <w:rPr>
                <w:rFonts w:ascii="Arial" w:cs="Arial" w:eastAsia="Arial" w:hAnsi="Arial"/>
                <w:sz w:val="18"/>
                <w:szCs w:val="18"/>
                <w:color w:val="auto"/>
                <w:w w:val="91"/>
              </w:rPr>
              <w:t>Advertisement/ announcement made in Norway on May 19, 2005 (incorporated by reference to the filing made by Royal</w:t>
            </w:r>
          </w:p>
        </w:tc>
      </w:tr>
      <w:tr>
        <w:trPr>
          <w:trHeight w:val="216"/>
        </w:trPr>
        <w:tc>
          <w:tcPr>
            <w:tcW w:w="1760" w:type="dxa"/>
            <w:vAlign w:val="bottom"/>
          </w:tcPr>
          <w:p>
            <w:pPr>
              <w:spacing w:after="0"/>
              <w:rPr>
                <w:sz w:val="18"/>
                <w:szCs w:val="18"/>
                <w:color w:val="auto"/>
              </w:rPr>
            </w:pPr>
          </w:p>
        </w:tc>
        <w:tc>
          <w:tcPr>
            <w:tcW w:w="9660" w:type="dxa"/>
            <w:vAlign w:val="bottom"/>
          </w:tcPr>
          <w:p>
            <w:pPr>
              <w:ind w:left="980"/>
              <w:spacing w:after="0"/>
              <w:rPr>
                <w:sz w:val="20"/>
                <w:szCs w:val="20"/>
                <w:color w:val="auto"/>
              </w:rPr>
            </w:pPr>
            <w:r>
              <w:rPr>
                <w:rFonts w:ascii="Arial" w:cs="Arial" w:eastAsia="Arial" w:hAnsi="Arial"/>
                <w:sz w:val="18"/>
                <w:szCs w:val="18"/>
                <w:color w:val="auto"/>
                <w:w w:val="93"/>
              </w:rPr>
              <w:t>Dutch Shell on May 20, 2005 pursuant to Rule 425 under the Securities Act of 1933, as amended, and deemed filed</w:t>
            </w:r>
          </w:p>
        </w:tc>
      </w:tr>
      <w:tr>
        <w:trPr>
          <w:trHeight w:val="216"/>
        </w:trPr>
        <w:tc>
          <w:tcPr>
            <w:tcW w:w="1760" w:type="dxa"/>
            <w:vAlign w:val="bottom"/>
          </w:tcPr>
          <w:p>
            <w:pPr>
              <w:spacing w:after="0"/>
              <w:rPr>
                <w:sz w:val="18"/>
                <w:szCs w:val="18"/>
                <w:color w:val="auto"/>
              </w:rPr>
            </w:pPr>
          </w:p>
        </w:tc>
        <w:tc>
          <w:tcPr>
            <w:tcW w:w="9660" w:type="dxa"/>
            <w:vAlign w:val="bottom"/>
          </w:tcPr>
          <w:p>
            <w:pPr>
              <w:ind w:left="980"/>
              <w:spacing w:after="0"/>
              <w:rPr>
                <w:sz w:val="20"/>
                <w:szCs w:val="20"/>
                <w:color w:val="auto"/>
              </w:rPr>
            </w:pPr>
            <w:r>
              <w:rPr>
                <w:rFonts w:ascii="Arial" w:cs="Arial" w:eastAsia="Arial" w:hAnsi="Arial"/>
                <w:sz w:val="18"/>
                <w:szCs w:val="18"/>
                <w:color w:val="auto"/>
              </w:rPr>
              <w:t>pursuant to Rule 14d-2 of the Securities Exchange Act of 1934, as amended).</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(a)(1)(xiii)</w:t>
            </w:r>
          </w:p>
        </w:tc>
        <w:tc>
          <w:tcPr>
            <w:tcW w:w="9660" w:type="dxa"/>
            <w:vAlign w:val="bottom"/>
          </w:tcPr>
          <w:p>
            <w:pPr>
              <w:ind w:left="980"/>
              <w:spacing w:after="0"/>
              <w:rPr>
                <w:sz w:val="20"/>
                <w:szCs w:val="20"/>
                <w:color w:val="auto"/>
              </w:rPr>
            </w:pPr>
            <w:r>
              <w:rPr>
                <w:rFonts w:ascii="Arial" w:cs="Arial" w:eastAsia="Arial" w:hAnsi="Arial"/>
                <w:sz w:val="18"/>
                <w:szCs w:val="18"/>
                <w:color w:val="auto"/>
                <w:w w:val="90"/>
              </w:rPr>
              <w:t>Advertisement/ announcement made in Canada on May 19, 2005 (incorporated by reference to the filing made by Royal</w:t>
            </w:r>
          </w:p>
        </w:tc>
      </w:tr>
      <w:tr>
        <w:trPr>
          <w:trHeight w:val="216"/>
        </w:trPr>
        <w:tc>
          <w:tcPr>
            <w:tcW w:w="1760" w:type="dxa"/>
            <w:vAlign w:val="bottom"/>
          </w:tcPr>
          <w:p>
            <w:pPr>
              <w:spacing w:after="0"/>
              <w:rPr>
                <w:sz w:val="18"/>
                <w:szCs w:val="18"/>
                <w:color w:val="auto"/>
              </w:rPr>
            </w:pPr>
          </w:p>
        </w:tc>
        <w:tc>
          <w:tcPr>
            <w:tcW w:w="9660" w:type="dxa"/>
            <w:vAlign w:val="bottom"/>
          </w:tcPr>
          <w:p>
            <w:pPr>
              <w:ind w:left="980"/>
              <w:spacing w:after="0"/>
              <w:rPr>
                <w:sz w:val="20"/>
                <w:szCs w:val="20"/>
                <w:color w:val="auto"/>
              </w:rPr>
            </w:pPr>
            <w:r>
              <w:rPr>
                <w:rFonts w:ascii="Arial" w:cs="Arial" w:eastAsia="Arial" w:hAnsi="Arial"/>
                <w:sz w:val="18"/>
                <w:szCs w:val="18"/>
                <w:color w:val="auto"/>
                <w:w w:val="93"/>
              </w:rPr>
              <w:t>Dutch Shell on May 20, 2005 pursuant to Rule 425 under the Securities Act of 1933, as amended, and deemed filed</w:t>
            </w:r>
          </w:p>
        </w:tc>
      </w:tr>
      <w:tr>
        <w:trPr>
          <w:trHeight w:val="222"/>
        </w:trPr>
        <w:tc>
          <w:tcPr>
            <w:tcW w:w="1760" w:type="dxa"/>
            <w:vAlign w:val="bottom"/>
          </w:tcPr>
          <w:p>
            <w:pPr>
              <w:spacing w:after="0"/>
              <w:rPr>
                <w:sz w:val="19"/>
                <w:szCs w:val="19"/>
                <w:color w:val="auto"/>
              </w:rPr>
            </w:pPr>
          </w:p>
        </w:tc>
        <w:tc>
          <w:tcPr>
            <w:tcW w:w="9660" w:type="dxa"/>
            <w:vAlign w:val="bottom"/>
          </w:tcPr>
          <w:p>
            <w:pPr>
              <w:ind w:left="980"/>
              <w:spacing w:after="0"/>
              <w:rPr>
                <w:sz w:val="20"/>
                <w:szCs w:val="20"/>
                <w:color w:val="auto"/>
              </w:rPr>
            </w:pPr>
            <w:r>
              <w:rPr>
                <w:rFonts w:ascii="Arial" w:cs="Arial" w:eastAsia="Arial" w:hAnsi="Arial"/>
                <w:sz w:val="18"/>
                <w:szCs w:val="18"/>
                <w:color w:val="auto"/>
              </w:rPr>
              <w:t>pursuant to Rule 14d-2 of the Securities Exchange Act of 1934, as amended).</w:t>
            </w:r>
          </w:p>
        </w:tc>
      </w:tr>
      <w:tr>
        <w:trPr>
          <w:trHeight w:val="228"/>
        </w:trPr>
        <w:tc>
          <w:tcPr>
            <w:tcW w:w="1760" w:type="dxa"/>
            <w:vAlign w:val="bottom"/>
            <w:tcBorders>
              <w:bottom w:val="single" w:sz="8" w:color="808080"/>
            </w:tcBorders>
          </w:tcPr>
          <w:p>
            <w:pPr>
              <w:spacing w:after="0"/>
              <w:rPr>
                <w:sz w:val="19"/>
                <w:szCs w:val="19"/>
                <w:color w:val="auto"/>
              </w:rPr>
            </w:pPr>
          </w:p>
        </w:tc>
        <w:tc>
          <w:tcPr>
            <w:tcW w:w="96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8"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(a)(1)(xiv)</w:t>
            </w:r>
          </w:p>
        </w:tc>
        <w:tc>
          <w:tcPr>
            <w:tcW w:w="9640" w:type="dxa"/>
            <w:vAlign w:val="bottom"/>
          </w:tcPr>
          <w:p>
            <w:pPr>
              <w:ind w:left="960"/>
              <w:spacing w:after="0"/>
              <w:rPr>
                <w:sz w:val="20"/>
                <w:szCs w:val="20"/>
                <w:color w:val="auto"/>
              </w:rPr>
            </w:pPr>
            <w:r>
              <w:rPr>
                <w:rFonts w:ascii="Arial" w:cs="Arial" w:eastAsia="Arial" w:hAnsi="Arial"/>
                <w:sz w:val="18"/>
                <w:szCs w:val="18"/>
                <w:color w:val="auto"/>
                <w:w w:val="90"/>
              </w:rPr>
              <w:t>Advertisement/ announcement made in Quebec on May 19, 2005 (incorporated by reference to the filing made by Royal</w:t>
            </w:r>
          </w:p>
        </w:tc>
      </w:tr>
      <w:tr>
        <w:trPr>
          <w:trHeight w:val="216"/>
        </w:trPr>
        <w:tc>
          <w:tcPr>
            <w:tcW w:w="1780" w:type="dxa"/>
            <w:vAlign w:val="bottom"/>
          </w:tcPr>
          <w:p>
            <w:pPr>
              <w:spacing w:after="0"/>
              <w:rPr>
                <w:sz w:val="18"/>
                <w:szCs w:val="18"/>
                <w:color w:val="auto"/>
              </w:rPr>
            </w:pPr>
          </w:p>
        </w:tc>
        <w:tc>
          <w:tcPr>
            <w:tcW w:w="9640" w:type="dxa"/>
            <w:vAlign w:val="bottom"/>
          </w:tcPr>
          <w:p>
            <w:pPr>
              <w:ind w:left="960"/>
              <w:spacing w:after="0"/>
              <w:rPr>
                <w:sz w:val="20"/>
                <w:szCs w:val="20"/>
                <w:color w:val="auto"/>
              </w:rPr>
            </w:pPr>
            <w:r>
              <w:rPr>
                <w:rFonts w:ascii="Arial" w:cs="Arial" w:eastAsia="Arial" w:hAnsi="Arial"/>
                <w:sz w:val="18"/>
                <w:szCs w:val="18"/>
                <w:color w:val="auto"/>
                <w:w w:val="93"/>
              </w:rPr>
              <w:t>Dutch Shell on May 20, 2005 pursuant to Rule 425 under the Securities Act of 1933, as amended, and deemed filed</w:t>
            </w:r>
          </w:p>
        </w:tc>
      </w:tr>
      <w:tr>
        <w:trPr>
          <w:trHeight w:val="216"/>
        </w:trPr>
        <w:tc>
          <w:tcPr>
            <w:tcW w:w="1780" w:type="dxa"/>
            <w:vAlign w:val="bottom"/>
          </w:tcPr>
          <w:p>
            <w:pPr>
              <w:spacing w:after="0"/>
              <w:rPr>
                <w:sz w:val="18"/>
                <w:szCs w:val="18"/>
                <w:color w:val="auto"/>
              </w:rPr>
            </w:pPr>
          </w:p>
        </w:tc>
        <w:tc>
          <w:tcPr>
            <w:tcW w:w="9640" w:type="dxa"/>
            <w:vAlign w:val="bottom"/>
          </w:tcPr>
          <w:p>
            <w:pPr>
              <w:ind w:left="960"/>
              <w:spacing w:after="0"/>
              <w:rPr>
                <w:sz w:val="20"/>
                <w:szCs w:val="20"/>
                <w:color w:val="auto"/>
              </w:rPr>
            </w:pPr>
            <w:r>
              <w:rPr>
                <w:rFonts w:ascii="Arial" w:cs="Arial" w:eastAsia="Arial" w:hAnsi="Arial"/>
                <w:sz w:val="18"/>
                <w:szCs w:val="18"/>
                <w:color w:val="auto"/>
              </w:rPr>
              <w:t>pursuant to Rule 14d-2 of the Securities Exchange Act of 1934, as amended).</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(a)(1)(xv)</w:t>
            </w:r>
          </w:p>
        </w:tc>
        <w:tc>
          <w:tcPr>
            <w:tcW w:w="9640" w:type="dxa"/>
            <w:vAlign w:val="bottom"/>
          </w:tcPr>
          <w:p>
            <w:pPr>
              <w:ind w:left="960"/>
              <w:spacing w:after="0"/>
              <w:rPr>
                <w:sz w:val="20"/>
                <w:szCs w:val="20"/>
                <w:color w:val="auto"/>
              </w:rPr>
            </w:pPr>
            <w:r>
              <w:rPr>
                <w:rFonts w:ascii="Arial" w:cs="Arial" w:eastAsia="Arial" w:hAnsi="Arial"/>
                <w:sz w:val="18"/>
                <w:szCs w:val="18"/>
                <w:color w:val="auto"/>
                <w:w w:val="90"/>
              </w:rPr>
              <w:t>Leaflet of Information for holders of Royal Dutch Hague Registered Shares (incorporated by reference to the filing made</w:t>
            </w:r>
          </w:p>
        </w:tc>
      </w:tr>
      <w:tr>
        <w:trPr>
          <w:trHeight w:val="216"/>
        </w:trPr>
        <w:tc>
          <w:tcPr>
            <w:tcW w:w="1780" w:type="dxa"/>
            <w:vAlign w:val="bottom"/>
          </w:tcPr>
          <w:p>
            <w:pPr>
              <w:spacing w:after="0"/>
              <w:rPr>
                <w:sz w:val="18"/>
                <w:szCs w:val="18"/>
                <w:color w:val="auto"/>
              </w:rPr>
            </w:pPr>
          </w:p>
        </w:tc>
        <w:tc>
          <w:tcPr>
            <w:tcW w:w="9640" w:type="dxa"/>
            <w:vAlign w:val="bottom"/>
          </w:tcPr>
          <w:p>
            <w:pPr>
              <w:ind w:left="960"/>
              <w:spacing w:after="0"/>
              <w:rPr>
                <w:sz w:val="20"/>
                <w:szCs w:val="20"/>
                <w:color w:val="auto"/>
              </w:rPr>
            </w:pPr>
            <w:r>
              <w:rPr>
                <w:rFonts w:ascii="Arial" w:cs="Arial" w:eastAsia="Arial" w:hAnsi="Arial"/>
                <w:sz w:val="18"/>
                <w:szCs w:val="18"/>
                <w:color w:val="auto"/>
                <w:w w:val="90"/>
              </w:rPr>
              <w:t>by Royal Dutch Shell on May 19, 2005 pursuant to Rule 425 under the Securities Act of 1933, as amended, and deemed</w:t>
            </w:r>
          </w:p>
        </w:tc>
      </w:tr>
      <w:tr>
        <w:trPr>
          <w:trHeight w:val="216"/>
        </w:trPr>
        <w:tc>
          <w:tcPr>
            <w:tcW w:w="1780" w:type="dxa"/>
            <w:vAlign w:val="bottom"/>
          </w:tcPr>
          <w:p>
            <w:pPr>
              <w:spacing w:after="0"/>
              <w:rPr>
                <w:sz w:val="18"/>
                <w:szCs w:val="18"/>
                <w:color w:val="auto"/>
              </w:rPr>
            </w:pPr>
          </w:p>
        </w:tc>
        <w:tc>
          <w:tcPr>
            <w:tcW w:w="9640" w:type="dxa"/>
            <w:vAlign w:val="bottom"/>
          </w:tcPr>
          <w:p>
            <w:pPr>
              <w:ind w:left="960"/>
              <w:spacing w:after="0"/>
              <w:rPr>
                <w:sz w:val="20"/>
                <w:szCs w:val="20"/>
                <w:color w:val="auto"/>
              </w:rPr>
            </w:pPr>
            <w:r>
              <w:rPr>
                <w:rFonts w:ascii="Arial" w:cs="Arial" w:eastAsia="Arial" w:hAnsi="Arial"/>
                <w:sz w:val="18"/>
                <w:szCs w:val="18"/>
                <w:color w:val="auto"/>
              </w:rPr>
              <w:t>filed pursuant to Rule 14d-2 of the Securities Exchange Act of 1934, as amended).</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(a)(1)(xvi)</w:t>
            </w:r>
          </w:p>
        </w:tc>
        <w:tc>
          <w:tcPr>
            <w:tcW w:w="9640" w:type="dxa"/>
            <w:vAlign w:val="bottom"/>
          </w:tcPr>
          <w:p>
            <w:pPr>
              <w:ind w:left="960"/>
              <w:spacing w:after="0"/>
              <w:rPr>
                <w:sz w:val="20"/>
                <w:szCs w:val="20"/>
                <w:color w:val="auto"/>
              </w:rPr>
            </w:pPr>
            <w:r>
              <w:rPr>
                <w:rFonts w:ascii="Arial" w:cs="Arial" w:eastAsia="Arial" w:hAnsi="Arial"/>
                <w:sz w:val="18"/>
                <w:szCs w:val="18"/>
                <w:color w:val="auto"/>
                <w:w w:val="90"/>
              </w:rPr>
              <w:t>Leaflet of Information for holders of Royal Dutch New York Registry Shares (incorporated by reference to the filing made</w:t>
            </w:r>
          </w:p>
        </w:tc>
      </w:tr>
      <w:tr>
        <w:trPr>
          <w:trHeight w:val="216"/>
        </w:trPr>
        <w:tc>
          <w:tcPr>
            <w:tcW w:w="1780" w:type="dxa"/>
            <w:vAlign w:val="bottom"/>
          </w:tcPr>
          <w:p>
            <w:pPr>
              <w:spacing w:after="0"/>
              <w:rPr>
                <w:sz w:val="18"/>
                <w:szCs w:val="18"/>
                <w:color w:val="auto"/>
              </w:rPr>
            </w:pPr>
          </w:p>
        </w:tc>
        <w:tc>
          <w:tcPr>
            <w:tcW w:w="9640" w:type="dxa"/>
            <w:vAlign w:val="bottom"/>
          </w:tcPr>
          <w:p>
            <w:pPr>
              <w:ind w:left="960"/>
              <w:spacing w:after="0"/>
              <w:rPr>
                <w:sz w:val="20"/>
                <w:szCs w:val="20"/>
                <w:color w:val="auto"/>
              </w:rPr>
            </w:pPr>
            <w:r>
              <w:rPr>
                <w:rFonts w:ascii="Arial" w:cs="Arial" w:eastAsia="Arial" w:hAnsi="Arial"/>
                <w:sz w:val="18"/>
                <w:szCs w:val="18"/>
                <w:color w:val="auto"/>
                <w:w w:val="90"/>
              </w:rPr>
              <w:t>by Royal Dutch Shell on May 20, 2005 pursuant to Rule 425 under the Securities Act of 1933, as amended, and deemed</w:t>
            </w:r>
          </w:p>
        </w:tc>
      </w:tr>
      <w:tr>
        <w:trPr>
          <w:trHeight w:val="216"/>
        </w:trPr>
        <w:tc>
          <w:tcPr>
            <w:tcW w:w="1780" w:type="dxa"/>
            <w:vAlign w:val="bottom"/>
          </w:tcPr>
          <w:p>
            <w:pPr>
              <w:spacing w:after="0"/>
              <w:rPr>
                <w:sz w:val="18"/>
                <w:szCs w:val="18"/>
                <w:color w:val="auto"/>
              </w:rPr>
            </w:pPr>
          </w:p>
        </w:tc>
        <w:tc>
          <w:tcPr>
            <w:tcW w:w="9640" w:type="dxa"/>
            <w:vAlign w:val="bottom"/>
          </w:tcPr>
          <w:p>
            <w:pPr>
              <w:ind w:left="960"/>
              <w:spacing w:after="0"/>
              <w:rPr>
                <w:sz w:val="20"/>
                <w:szCs w:val="20"/>
                <w:color w:val="auto"/>
              </w:rPr>
            </w:pPr>
            <w:r>
              <w:rPr>
                <w:rFonts w:ascii="Arial" w:cs="Arial" w:eastAsia="Arial" w:hAnsi="Arial"/>
                <w:sz w:val="18"/>
                <w:szCs w:val="18"/>
                <w:color w:val="auto"/>
              </w:rPr>
              <w:t>filed pursuant to Rule 14d-2 of the Securities Exchange Act of 1934, as amended).</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(a)(1)(xvii)</w:t>
            </w:r>
          </w:p>
        </w:tc>
        <w:tc>
          <w:tcPr>
            <w:tcW w:w="9640" w:type="dxa"/>
            <w:vAlign w:val="bottom"/>
          </w:tcPr>
          <w:p>
            <w:pPr>
              <w:ind w:left="960"/>
              <w:spacing w:after="0"/>
              <w:rPr>
                <w:sz w:val="20"/>
                <w:szCs w:val="20"/>
                <w:color w:val="auto"/>
              </w:rPr>
            </w:pPr>
            <w:r>
              <w:rPr>
                <w:rFonts w:ascii="Arial" w:cs="Arial" w:eastAsia="Arial" w:hAnsi="Arial"/>
                <w:sz w:val="18"/>
                <w:szCs w:val="18"/>
                <w:color w:val="auto"/>
                <w:w w:val="92"/>
              </w:rPr>
              <w:t>Advertisement published in the United States on May 20, 2005 (incorporated by reference to the filing made by Royal</w:t>
            </w:r>
          </w:p>
        </w:tc>
      </w:tr>
      <w:tr>
        <w:trPr>
          <w:trHeight w:val="216"/>
        </w:trPr>
        <w:tc>
          <w:tcPr>
            <w:tcW w:w="1780" w:type="dxa"/>
            <w:vAlign w:val="bottom"/>
          </w:tcPr>
          <w:p>
            <w:pPr>
              <w:spacing w:after="0"/>
              <w:rPr>
                <w:sz w:val="18"/>
                <w:szCs w:val="18"/>
                <w:color w:val="auto"/>
              </w:rPr>
            </w:pPr>
          </w:p>
        </w:tc>
        <w:tc>
          <w:tcPr>
            <w:tcW w:w="9640" w:type="dxa"/>
            <w:vAlign w:val="bottom"/>
          </w:tcPr>
          <w:p>
            <w:pPr>
              <w:ind w:left="960"/>
              <w:spacing w:after="0"/>
              <w:rPr>
                <w:sz w:val="20"/>
                <w:szCs w:val="20"/>
                <w:color w:val="auto"/>
              </w:rPr>
            </w:pPr>
            <w:r>
              <w:rPr>
                <w:rFonts w:ascii="Arial" w:cs="Arial" w:eastAsia="Arial" w:hAnsi="Arial"/>
                <w:sz w:val="18"/>
                <w:szCs w:val="18"/>
                <w:color w:val="auto"/>
                <w:w w:val="93"/>
              </w:rPr>
              <w:t>Dutch Shell on May 20, 2005 pursuant to Rule 425 under the Securities Act of 1933, as amended, and deemed filed</w:t>
            </w:r>
          </w:p>
        </w:tc>
      </w:tr>
      <w:tr>
        <w:trPr>
          <w:trHeight w:val="216"/>
        </w:trPr>
        <w:tc>
          <w:tcPr>
            <w:tcW w:w="1780" w:type="dxa"/>
            <w:vAlign w:val="bottom"/>
          </w:tcPr>
          <w:p>
            <w:pPr>
              <w:spacing w:after="0"/>
              <w:rPr>
                <w:sz w:val="18"/>
                <w:szCs w:val="18"/>
                <w:color w:val="auto"/>
              </w:rPr>
            </w:pPr>
          </w:p>
        </w:tc>
        <w:tc>
          <w:tcPr>
            <w:tcW w:w="9640" w:type="dxa"/>
            <w:vAlign w:val="bottom"/>
          </w:tcPr>
          <w:p>
            <w:pPr>
              <w:ind w:left="960"/>
              <w:spacing w:after="0"/>
              <w:rPr>
                <w:sz w:val="20"/>
                <w:szCs w:val="20"/>
                <w:color w:val="auto"/>
              </w:rPr>
            </w:pPr>
            <w:r>
              <w:rPr>
                <w:rFonts w:ascii="Arial" w:cs="Arial" w:eastAsia="Arial" w:hAnsi="Arial"/>
                <w:sz w:val="18"/>
                <w:szCs w:val="18"/>
                <w:color w:val="auto"/>
              </w:rPr>
              <w:t>pursuant to Rule 14d-2 of the Securities Exchange Act of 1934, as amended).</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(a)(1)(viii)</w:t>
            </w:r>
          </w:p>
        </w:tc>
        <w:tc>
          <w:tcPr>
            <w:tcW w:w="9640" w:type="dxa"/>
            <w:vAlign w:val="bottom"/>
          </w:tcPr>
          <w:p>
            <w:pPr>
              <w:ind w:left="960"/>
              <w:spacing w:after="0"/>
              <w:rPr>
                <w:sz w:val="20"/>
                <w:szCs w:val="20"/>
                <w:color w:val="auto"/>
              </w:rPr>
            </w:pPr>
            <w:r>
              <w:rPr>
                <w:rFonts w:ascii="Arial" w:cs="Arial" w:eastAsia="Arial" w:hAnsi="Arial"/>
                <w:sz w:val="18"/>
                <w:szCs w:val="18"/>
                <w:color w:val="auto"/>
                <w:w w:val="92"/>
              </w:rPr>
              <w:t>Form of Reminder Letter sent to holders of Royal Dutch Ordinary Shares in New York Registry Form (incorporated by</w:t>
            </w:r>
          </w:p>
        </w:tc>
      </w:tr>
      <w:tr>
        <w:trPr>
          <w:trHeight w:val="216"/>
        </w:trPr>
        <w:tc>
          <w:tcPr>
            <w:tcW w:w="1780" w:type="dxa"/>
            <w:vAlign w:val="bottom"/>
          </w:tcPr>
          <w:p>
            <w:pPr>
              <w:spacing w:after="0"/>
              <w:rPr>
                <w:sz w:val="18"/>
                <w:szCs w:val="18"/>
                <w:color w:val="auto"/>
              </w:rPr>
            </w:pPr>
          </w:p>
        </w:tc>
        <w:tc>
          <w:tcPr>
            <w:tcW w:w="9640" w:type="dxa"/>
            <w:vAlign w:val="bottom"/>
          </w:tcPr>
          <w:p>
            <w:pPr>
              <w:ind w:left="960"/>
              <w:spacing w:after="0"/>
              <w:rPr>
                <w:sz w:val="20"/>
                <w:szCs w:val="20"/>
                <w:color w:val="auto"/>
              </w:rPr>
            </w:pPr>
            <w:r>
              <w:rPr>
                <w:rFonts w:ascii="Arial" w:cs="Arial" w:eastAsia="Arial" w:hAnsi="Arial"/>
                <w:sz w:val="18"/>
                <w:szCs w:val="18"/>
                <w:color w:val="auto"/>
                <w:w w:val="89"/>
              </w:rPr>
              <w:t>reference to the filing made by Royal Dutch Shell on June 13, 2005 pursuant to Rule 425 under the Securities Act of 1933,</w:t>
            </w:r>
          </w:p>
        </w:tc>
      </w:tr>
      <w:tr>
        <w:trPr>
          <w:trHeight w:val="216"/>
        </w:trPr>
        <w:tc>
          <w:tcPr>
            <w:tcW w:w="1780" w:type="dxa"/>
            <w:vAlign w:val="bottom"/>
          </w:tcPr>
          <w:p>
            <w:pPr>
              <w:spacing w:after="0"/>
              <w:rPr>
                <w:sz w:val="18"/>
                <w:szCs w:val="18"/>
                <w:color w:val="auto"/>
              </w:rPr>
            </w:pPr>
          </w:p>
        </w:tc>
        <w:tc>
          <w:tcPr>
            <w:tcW w:w="9640" w:type="dxa"/>
            <w:vAlign w:val="bottom"/>
          </w:tcPr>
          <w:p>
            <w:pPr>
              <w:ind w:left="960"/>
              <w:spacing w:after="0"/>
              <w:rPr>
                <w:sz w:val="20"/>
                <w:szCs w:val="20"/>
                <w:color w:val="auto"/>
              </w:rPr>
            </w:pPr>
            <w:r>
              <w:rPr>
                <w:rFonts w:ascii="Arial" w:cs="Arial" w:eastAsia="Arial" w:hAnsi="Arial"/>
                <w:sz w:val="18"/>
                <w:szCs w:val="18"/>
                <w:color w:val="auto"/>
                <w:w w:val="99"/>
              </w:rPr>
              <w:t>as amended, and deemed filed pursuant to Rule 14d-2 of the Securities Exchange Act of 1934, as amended.)</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(a)(1)(xix)</w:t>
            </w:r>
          </w:p>
        </w:tc>
        <w:tc>
          <w:tcPr>
            <w:tcW w:w="9640" w:type="dxa"/>
            <w:vAlign w:val="bottom"/>
          </w:tcPr>
          <w:p>
            <w:pPr>
              <w:ind w:left="960"/>
              <w:spacing w:after="0"/>
              <w:rPr>
                <w:sz w:val="20"/>
                <w:szCs w:val="20"/>
                <w:color w:val="auto"/>
              </w:rPr>
            </w:pPr>
            <w:r>
              <w:rPr>
                <w:rFonts w:ascii="Arial" w:cs="Arial" w:eastAsia="Arial" w:hAnsi="Arial"/>
                <w:sz w:val="18"/>
                <w:szCs w:val="18"/>
                <w:color w:val="auto"/>
                <w:w w:val="89"/>
              </w:rPr>
              <w:t>Press announcement with respect to approval by Royal Dutch and Shell Transport of the Resolutions on Unification dated</w:t>
            </w:r>
          </w:p>
        </w:tc>
      </w:tr>
      <w:tr>
        <w:trPr>
          <w:trHeight w:val="216"/>
        </w:trPr>
        <w:tc>
          <w:tcPr>
            <w:tcW w:w="1780" w:type="dxa"/>
            <w:vAlign w:val="bottom"/>
          </w:tcPr>
          <w:p>
            <w:pPr>
              <w:spacing w:after="0"/>
              <w:rPr>
                <w:sz w:val="18"/>
                <w:szCs w:val="18"/>
                <w:color w:val="auto"/>
              </w:rPr>
            </w:pPr>
          </w:p>
        </w:tc>
        <w:tc>
          <w:tcPr>
            <w:tcW w:w="9640" w:type="dxa"/>
            <w:vAlign w:val="bottom"/>
          </w:tcPr>
          <w:p>
            <w:pPr>
              <w:ind w:left="960"/>
              <w:spacing w:after="0"/>
              <w:rPr>
                <w:sz w:val="20"/>
                <w:szCs w:val="20"/>
                <w:color w:val="auto"/>
              </w:rPr>
            </w:pPr>
            <w:r>
              <w:rPr>
                <w:rFonts w:ascii="Arial" w:cs="Arial" w:eastAsia="Arial" w:hAnsi="Arial"/>
                <w:sz w:val="18"/>
                <w:szCs w:val="18"/>
                <w:color w:val="auto"/>
                <w:w w:val="90"/>
              </w:rPr>
              <w:t>June 28, 2005 (incorporated by reference to the filing made by Royal Dutch Shell on June 28, 2005 pursuant to Rule 425</w:t>
            </w:r>
          </w:p>
        </w:tc>
      </w:tr>
      <w:tr>
        <w:trPr>
          <w:trHeight w:val="216"/>
        </w:trPr>
        <w:tc>
          <w:tcPr>
            <w:tcW w:w="1780" w:type="dxa"/>
            <w:vAlign w:val="bottom"/>
          </w:tcPr>
          <w:p>
            <w:pPr>
              <w:spacing w:after="0"/>
              <w:rPr>
                <w:sz w:val="18"/>
                <w:szCs w:val="18"/>
                <w:color w:val="auto"/>
              </w:rPr>
            </w:pPr>
          </w:p>
        </w:tc>
        <w:tc>
          <w:tcPr>
            <w:tcW w:w="9640" w:type="dxa"/>
            <w:vAlign w:val="bottom"/>
          </w:tcPr>
          <w:p>
            <w:pPr>
              <w:ind w:left="960"/>
              <w:spacing w:after="0"/>
              <w:rPr>
                <w:sz w:val="20"/>
                <w:szCs w:val="20"/>
                <w:color w:val="auto"/>
              </w:rPr>
            </w:pPr>
            <w:r>
              <w:rPr>
                <w:rFonts w:ascii="Arial" w:cs="Arial" w:eastAsia="Arial" w:hAnsi="Arial"/>
                <w:sz w:val="18"/>
                <w:szCs w:val="18"/>
                <w:color w:val="auto"/>
                <w:w w:val="89"/>
              </w:rPr>
              <w:t>under the Securities Act of 1933, as amended, and deemed filed pursuant to Rule 14d-2 of the Securities Exchange Act of</w:t>
            </w:r>
          </w:p>
        </w:tc>
      </w:tr>
      <w:tr>
        <w:trPr>
          <w:trHeight w:val="216"/>
        </w:trPr>
        <w:tc>
          <w:tcPr>
            <w:tcW w:w="1780" w:type="dxa"/>
            <w:vAlign w:val="bottom"/>
          </w:tcPr>
          <w:p>
            <w:pPr>
              <w:spacing w:after="0"/>
              <w:rPr>
                <w:sz w:val="18"/>
                <w:szCs w:val="18"/>
                <w:color w:val="auto"/>
              </w:rPr>
            </w:pPr>
          </w:p>
        </w:tc>
        <w:tc>
          <w:tcPr>
            <w:tcW w:w="9640" w:type="dxa"/>
            <w:vAlign w:val="bottom"/>
          </w:tcPr>
          <w:p>
            <w:pPr>
              <w:ind w:left="960"/>
              <w:spacing w:after="0"/>
              <w:rPr>
                <w:sz w:val="20"/>
                <w:szCs w:val="20"/>
                <w:color w:val="auto"/>
              </w:rPr>
            </w:pPr>
            <w:r>
              <w:rPr>
                <w:rFonts w:ascii="Arial" w:cs="Arial" w:eastAsia="Arial" w:hAnsi="Arial"/>
                <w:sz w:val="18"/>
                <w:szCs w:val="18"/>
                <w:color w:val="auto"/>
              </w:rPr>
              <w:t>1934, as amended).</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(a)(2)</w:t>
            </w:r>
          </w:p>
        </w:tc>
        <w:tc>
          <w:tcPr>
            <w:tcW w:w="9640" w:type="dxa"/>
            <w:vAlign w:val="bottom"/>
          </w:tcPr>
          <w:p>
            <w:pPr>
              <w:ind w:left="960"/>
              <w:spacing w:after="0"/>
              <w:rPr>
                <w:sz w:val="20"/>
                <w:szCs w:val="20"/>
                <w:color w:val="auto"/>
              </w:rPr>
            </w:pPr>
            <w:r>
              <w:rPr>
                <w:rFonts w:ascii="Arial" w:cs="Arial" w:eastAsia="Arial" w:hAnsi="Arial"/>
                <w:sz w:val="18"/>
                <w:szCs w:val="18"/>
                <w:color w:val="auto"/>
              </w:rPr>
              <w:t>None.</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(a)(3)</w:t>
            </w:r>
          </w:p>
        </w:tc>
        <w:tc>
          <w:tcPr>
            <w:tcW w:w="9640" w:type="dxa"/>
            <w:vAlign w:val="bottom"/>
          </w:tcPr>
          <w:p>
            <w:pPr>
              <w:ind w:left="960"/>
              <w:spacing w:after="0"/>
              <w:rPr>
                <w:sz w:val="20"/>
                <w:szCs w:val="20"/>
                <w:color w:val="auto"/>
              </w:rPr>
            </w:pPr>
            <w:r>
              <w:rPr>
                <w:rFonts w:ascii="Arial" w:cs="Arial" w:eastAsia="Arial" w:hAnsi="Arial"/>
                <w:sz w:val="18"/>
                <w:szCs w:val="18"/>
                <w:color w:val="auto"/>
              </w:rPr>
              <w:t>None.</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(a)(4)</w:t>
            </w:r>
          </w:p>
        </w:tc>
        <w:tc>
          <w:tcPr>
            <w:tcW w:w="9640" w:type="dxa"/>
            <w:vAlign w:val="bottom"/>
          </w:tcPr>
          <w:p>
            <w:pPr>
              <w:ind w:left="960"/>
              <w:spacing w:after="0"/>
              <w:rPr>
                <w:sz w:val="20"/>
                <w:szCs w:val="20"/>
                <w:color w:val="auto"/>
              </w:rPr>
            </w:pPr>
            <w:r>
              <w:rPr>
                <w:rFonts w:ascii="Arial" w:cs="Arial" w:eastAsia="Arial" w:hAnsi="Arial"/>
                <w:sz w:val="18"/>
                <w:szCs w:val="18"/>
                <w:color w:val="auto"/>
              </w:rPr>
              <w:t>Filed herewith as Exhibit (a)(1)(i).</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(a)(5)</w:t>
            </w:r>
          </w:p>
        </w:tc>
        <w:tc>
          <w:tcPr>
            <w:tcW w:w="9640" w:type="dxa"/>
            <w:vAlign w:val="bottom"/>
          </w:tcPr>
          <w:p>
            <w:pPr>
              <w:ind w:left="960"/>
              <w:spacing w:after="0"/>
              <w:rPr>
                <w:sz w:val="20"/>
                <w:szCs w:val="20"/>
                <w:color w:val="auto"/>
              </w:rPr>
            </w:pPr>
            <w:r>
              <w:rPr>
                <w:rFonts w:ascii="Arial" w:cs="Arial" w:eastAsia="Arial" w:hAnsi="Arial"/>
                <w:sz w:val="18"/>
                <w:szCs w:val="18"/>
                <w:color w:val="auto"/>
              </w:rPr>
              <w:t>None.</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(b)</w:t>
            </w:r>
          </w:p>
        </w:tc>
        <w:tc>
          <w:tcPr>
            <w:tcW w:w="9640" w:type="dxa"/>
            <w:vAlign w:val="bottom"/>
          </w:tcPr>
          <w:p>
            <w:pPr>
              <w:ind w:left="960"/>
              <w:spacing w:after="0"/>
              <w:rPr>
                <w:sz w:val="20"/>
                <w:szCs w:val="20"/>
                <w:color w:val="auto"/>
              </w:rPr>
            </w:pPr>
            <w:r>
              <w:rPr>
                <w:rFonts w:ascii="Arial" w:cs="Arial" w:eastAsia="Arial" w:hAnsi="Arial"/>
                <w:sz w:val="18"/>
                <w:szCs w:val="18"/>
                <w:color w:val="auto"/>
              </w:rPr>
              <w:t>None.</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(d)(1)</w:t>
            </w:r>
          </w:p>
        </w:tc>
        <w:tc>
          <w:tcPr>
            <w:tcW w:w="9640" w:type="dxa"/>
            <w:vAlign w:val="bottom"/>
          </w:tcPr>
          <w:p>
            <w:pPr>
              <w:ind w:left="960"/>
              <w:spacing w:after="0"/>
              <w:rPr>
                <w:sz w:val="20"/>
                <w:szCs w:val="20"/>
                <w:color w:val="auto"/>
              </w:rPr>
            </w:pPr>
            <w:r>
              <w:rPr>
                <w:rFonts w:ascii="Arial" w:cs="Arial" w:eastAsia="Arial" w:hAnsi="Arial"/>
                <w:sz w:val="18"/>
                <w:szCs w:val="18"/>
                <w:color w:val="auto"/>
                <w:w w:val="92"/>
              </w:rPr>
              <w:t>Implementation Agreement dated as of May 18, 2005 by and between Royal Dutch, The “Shell” Transport and Trading</w:t>
            </w:r>
          </w:p>
        </w:tc>
      </w:tr>
      <w:tr>
        <w:trPr>
          <w:trHeight w:val="216"/>
        </w:trPr>
        <w:tc>
          <w:tcPr>
            <w:tcW w:w="1780" w:type="dxa"/>
            <w:vAlign w:val="bottom"/>
          </w:tcPr>
          <w:p>
            <w:pPr>
              <w:spacing w:after="0"/>
              <w:rPr>
                <w:sz w:val="18"/>
                <w:szCs w:val="18"/>
                <w:color w:val="auto"/>
              </w:rPr>
            </w:pPr>
          </w:p>
        </w:tc>
        <w:tc>
          <w:tcPr>
            <w:tcW w:w="9640" w:type="dxa"/>
            <w:vAlign w:val="bottom"/>
          </w:tcPr>
          <w:p>
            <w:pPr>
              <w:ind w:left="960"/>
              <w:spacing w:after="0"/>
              <w:rPr>
                <w:sz w:val="20"/>
                <w:szCs w:val="20"/>
                <w:color w:val="auto"/>
              </w:rPr>
            </w:pPr>
            <w:r>
              <w:rPr>
                <w:rFonts w:ascii="Arial" w:cs="Arial" w:eastAsia="Arial" w:hAnsi="Arial"/>
                <w:sz w:val="18"/>
                <w:szCs w:val="18"/>
                <w:color w:val="auto"/>
              </w:rPr>
              <w:t>Company, p.l.c. and Royal Dutch Shell (included as Annex A to Exhibit (a)(1)).</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(g)</w:t>
            </w:r>
          </w:p>
        </w:tc>
        <w:tc>
          <w:tcPr>
            <w:tcW w:w="9640" w:type="dxa"/>
            <w:vAlign w:val="bottom"/>
          </w:tcPr>
          <w:p>
            <w:pPr>
              <w:ind w:left="960"/>
              <w:spacing w:after="0"/>
              <w:rPr>
                <w:sz w:val="20"/>
                <w:szCs w:val="20"/>
                <w:color w:val="auto"/>
              </w:rPr>
            </w:pPr>
            <w:r>
              <w:rPr>
                <w:rFonts w:ascii="Arial" w:cs="Arial" w:eastAsia="Arial" w:hAnsi="Arial"/>
                <w:sz w:val="18"/>
                <w:szCs w:val="18"/>
                <w:color w:val="auto"/>
              </w:rPr>
              <w:t>None.</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(h)(1)</w:t>
            </w:r>
          </w:p>
        </w:tc>
        <w:tc>
          <w:tcPr>
            <w:tcW w:w="9640" w:type="dxa"/>
            <w:vAlign w:val="bottom"/>
          </w:tcPr>
          <w:p>
            <w:pPr>
              <w:ind w:left="960"/>
              <w:spacing w:after="0"/>
              <w:rPr>
                <w:sz w:val="20"/>
                <w:szCs w:val="20"/>
                <w:color w:val="auto"/>
              </w:rPr>
            </w:pPr>
            <w:r>
              <w:rPr>
                <w:rFonts w:ascii="Arial" w:cs="Arial" w:eastAsia="Arial" w:hAnsi="Arial"/>
                <w:sz w:val="18"/>
                <w:szCs w:val="18"/>
                <w:color w:val="auto"/>
                <w:w w:val="92"/>
              </w:rPr>
              <w:t>Opinion of Cravath, Swaine &amp; Moore LLP regarding certain tax matters (incorporated by reference to Exhibit 8.1 to the</w:t>
            </w:r>
          </w:p>
        </w:tc>
      </w:tr>
      <w:tr>
        <w:trPr>
          <w:trHeight w:val="216"/>
        </w:trPr>
        <w:tc>
          <w:tcPr>
            <w:tcW w:w="1780" w:type="dxa"/>
            <w:vAlign w:val="bottom"/>
          </w:tcPr>
          <w:p>
            <w:pPr>
              <w:spacing w:after="0"/>
              <w:rPr>
                <w:sz w:val="18"/>
                <w:szCs w:val="18"/>
                <w:color w:val="auto"/>
              </w:rPr>
            </w:pPr>
          </w:p>
        </w:tc>
        <w:tc>
          <w:tcPr>
            <w:tcW w:w="9640" w:type="dxa"/>
            <w:vAlign w:val="bottom"/>
          </w:tcPr>
          <w:p>
            <w:pPr>
              <w:ind w:left="960"/>
              <w:spacing w:after="0"/>
              <w:rPr>
                <w:sz w:val="20"/>
                <w:szCs w:val="20"/>
                <w:color w:val="auto"/>
              </w:rPr>
            </w:pPr>
            <w:r>
              <w:rPr>
                <w:rFonts w:ascii="Arial" w:cs="Arial" w:eastAsia="Arial" w:hAnsi="Arial"/>
                <w:sz w:val="18"/>
                <w:szCs w:val="18"/>
                <w:color w:val="auto"/>
              </w:rPr>
              <w:t>Registration Statement).</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(h)(2)</w:t>
            </w:r>
          </w:p>
        </w:tc>
        <w:tc>
          <w:tcPr>
            <w:tcW w:w="9640" w:type="dxa"/>
            <w:vAlign w:val="bottom"/>
          </w:tcPr>
          <w:p>
            <w:pPr>
              <w:ind w:left="960"/>
              <w:spacing w:after="0"/>
              <w:rPr>
                <w:sz w:val="20"/>
                <w:szCs w:val="20"/>
                <w:color w:val="auto"/>
              </w:rPr>
            </w:pPr>
            <w:r>
              <w:rPr>
                <w:rFonts w:ascii="Arial" w:cs="Arial" w:eastAsia="Arial" w:hAnsi="Arial"/>
                <w:sz w:val="18"/>
                <w:szCs w:val="18"/>
                <w:color w:val="auto"/>
                <w:w w:val="89"/>
              </w:rPr>
              <w:t>Opinion of De Brauw Blackstone Westbroek N.V. regarding certain tax matters (incorporated by reference to Exhibit 8.2 to</w:t>
            </w:r>
          </w:p>
        </w:tc>
      </w:tr>
      <w:tr>
        <w:trPr>
          <w:trHeight w:val="216"/>
        </w:trPr>
        <w:tc>
          <w:tcPr>
            <w:tcW w:w="1780" w:type="dxa"/>
            <w:vAlign w:val="bottom"/>
          </w:tcPr>
          <w:p>
            <w:pPr>
              <w:spacing w:after="0"/>
              <w:rPr>
                <w:sz w:val="18"/>
                <w:szCs w:val="18"/>
                <w:color w:val="auto"/>
              </w:rPr>
            </w:pPr>
          </w:p>
        </w:tc>
        <w:tc>
          <w:tcPr>
            <w:tcW w:w="9640" w:type="dxa"/>
            <w:vAlign w:val="bottom"/>
          </w:tcPr>
          <w:p>
            <w:pPr>
              <w:ind w:left="960"/>
              <w:spacing w:after="0"/>
              <w:rPr>
                <w:sz w:val="20"/>
                <w:szCs w:val="20"/>
                <w:color w:val="auto"/>
              </w:rPr>
            </w:pPr>
            <w:r>
              <w:rPr>
                <w:rFonts w:ascii="Arial" w:cs="Arial" w:eastAsia="Arial" w:hAnsi="Arial"/>
                <w:sz w:val="18"/>
                <w:szCs w:val="18"/>
                <w:color w:val="auto"/>
              </w:rPr>
              <w:t>the Registration Statement).</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(h)(3)</w:t>
            </w:r>
          </w:p>
        </w:tc>
        <w:tc>
          <w:tcPr>
            <w:tcW w:w="9640" w:type="dxa"/>
            <w:vAlign w:val="bottom"/>
          </w:tcPr>
          <w:p>
            <w:pPr>
              <w:ind w:left="960"/>
              <w:spacing w:after="0"/>
              <w:rPr>
                <w:sz w:val="20"/>
                <w:szCs w:val="20"/>
                <w:color w:val="auto"/>
              </w:rPr>
            </w:pPr>
            <w:r>
              <w:rPr>
                <w:rFonts w:ascii="Arial" w:cs="Arial" w:eastAsia="Arial" w:hAnsi="Arial"/>
                <w:sz w:val="18"/>
                <w:szCs w:val="18"/>
                <w:color w:val="auto"/>
                <w:w w:val="91"/>
              </w:rPr>
              <w:t>Opinion of Slaughter and May regarding certain tax matters (incorporated by reference to Exhibit 8.3 to the Registration</w:t>
            </w:r>
          </w:p>
        </w:tc>
      </w:tr>
      <w:tr>
        <w:trPr>
          <w:trHeight w:val="222"/>
        </w:trPr>
        <w:tc>
          <w:tcPr>
            <w:tcW w:w="1780" w:type="dxa"/>
            <w:vAlign w:val="bottom"/>
          </w:tcPr>
          <w:p>
            <w:pPr>
              <w:spacing w:after="0"/>
              <w:rPr>
                <w:sz w:val="19"/>
                <w:szCs w:val="19"/>
                <w:color w:val="auto"/>
              </w:rPr>
            </w:pPr>
          </w:p>
        </w:tc>
        <w:tc>
          <w:tcPr>
            <w:tcW w:w="9640" w:type="dxa"/>
            <w:vAlign w:val="bottom"/>
          </w:tcPr>
          <w:p>
            <w:pPr>
              <w:ind w:left="960"/>
              <w:spacing w:after="0"/>
              <w:rPr>
                <w:sz w:val="20"/>
                <w:szCs w:val="20"/>
                <w:color w:val="auto"/>
              </w:rPr>
            </w:pPr>
            <w:r>
              <w:rPr>
                <w:rFonts w:ascii="Arial" w:cs="Arial" w:eastAsia="Arial" w:hAnsi="Arial"/>
                <w:sz w:val="18"/>
                <w:szCs w:val="18"/>
                <w:color w:val="auto"/>
              </w:rPr>
              <w:t>Statement).</w:t>
            </w:r>
          </w:p>
        </w:tc>
      </w:tr>
      <w:tr>
        <w:trPr>
          <w:trHeight w:val="228"/>
        </w:trPr>
        <w:tc>
          <w:tcPr>
            <w:tcW w:w="1780" w:type="dxa"/>
            <w:vAlign w:val="bottom"/>
            <w:tcBorders>
              <w:bottom w:val="single" w:sz="8" w:color="808080"/>
            </w:tcBorders>
          </w:tcPr>
          <w:p>
            <w:pPr>
              <w:spacing w:after="0"/>
              <w:rPr>
                <w:sz w:val="19"/>
                <w:szCs w:val="19"/>
                <w:color w:val="auto"/>
              </w:rPr>
            </w:pPr>
          </w:p>
        </w:tc>
        <w:tc>
          <w:tcPr>
            <w:tcW w:w="9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8" w:right="239" w:bottom="1440" w:gutter="0" w:footer="0" w:header="0"/>
        </w:sectPr>
      </w:pPr>
    </w:p>
    <w:bookmarkStart w:id="5" w:name="page6"/>
    <w:bookmarkEnd w:id="5"/>
    <w:p>
      <w:pPr>
        <w:jc w:val="center"/>
        <w:ind w:right="-339"/>
        <w:spacing w:after="0"/>
        <w:rPr>
          <w:sz w:val="20"/>
          <w:szCs w:val="20"/>
          <w:color w:val="auto"/>
        </w:rPr>
      </w:pPr>
      <w:r>
        <w:rPr>
          <w:rFonts w:ascii="Arial" w:cs="Arial" w:eastAsia="Arial" w:hAnsi="Arial"/>
          <w:sz w:val="18"/>
          <w:szCs w:val="18"/>
          <w:b w:val="1"/>
          <w:bCs w:val="1"/>
          <w:color w:val="auto"/>
        </w:rPr>
        <w:t>SIGNATURE</w:t>
      </w:r>
    </w:p>
    <w:p>
      <w:pPr>
        <w:spacing w:after="0" w:line="25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After due inquiry and to the best of my knowledge and belief, I certify that the information set forth in this Amendment No. 2 to the Schedule TO is true, complete and correct.</w:t>
      </w:r>
    </w:p>
    <w:p>
      <w:pPr>
        <w:spacing w:after="0" w:line="18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ROYAL DUTCH SHELL PLC</w:t>
      </w:r>
    </w:p>
    <w:p>
      <w:pPr>
        <w:spacing w:after="0" w:line="25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By: /s/ Peter Voser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97155</wp:posOffset>
            </wp:positionV>
            <wp:extent cx="43478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5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 Peter Voser</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Title: Director and 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June 28, 2005</w:t>
      </w:r>
    </w:p>
    <w:sectPr>
      <w:pgSz w:w="11900" w:h="16838" w:orient="portrait"/>
      <w:cols w:equalWidth="0" w:num="1">
        <w:col w:w="11080"/>
      </w:cols>
      <w:pgMar w:left="240" w:top="935"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o"/>
      <w:numFmt w:val="bullet"/>
      <w:start w:val="1"/>
    </w:lvl>
  </w:abstractNum>
  <w:abstractNum w:abstractNumId="3">
    <w:nsid w:val="625558EC"/>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2019-12-17T07:26:07Z</dcterms:created>
  <dcterms:modified xsi:type="dcterms:W3CDTF">2019-12-17T07:26:07Z</dcterms:modified>
</cp:coreProperties>
</file>