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Form 8-A</w:t>
      </w:r>
    </w:p>
    <w:p>
      <w:pPr>
        <w:spacing w:after="0" w:line="21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left="1160" w:right="16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212090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tbl>
      <w:tblPr>
        <w:tblLayout w:type="fixed"/>
        <w:tblInd w:w="1180" w:type="dxa"/>
        <w:tblCellMar>
          <w:top w:w="0" w:type="dxa"/>
          <w:left w:w="0" w:type="dxa"/>
          <w:bottom w:w="0" w:type="dxa"/>
          <w:right w:w="0" w:type="dxa"/>
        </w:tblCellMar>
      </w:tblPr>
      <w:tr>
        <w:trPr>
          <w:trHeight w:val="214"/>
        </w:trPr>
        <w:tc>
          <w:tcPr>
            <w:tcW w:w="1040" w:type="dxa"/>
            <w:vAlign w:val="bottom"/>
          </w:tcPr>
          <w:p>
            <w:pPr>
              <w:spacing w:after="0"/>
              <w:rPr>
                <w:sz w:val="18"/>
                <w:szCs w:val="18"/>
                <w:color w:val="auto"/>
              </w:rPr>
            </w:pPr>
          </w:p>
        </w:tc>
        <w:tc>
          <w:tcPr>
            <w:tcW w:w="3340" w:type="dxa"/>
            <w:vAlign w:val="bottom"/>
            <w:gridSpan w:val="2"/>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w w:val="99"/>
              </w:rPr>
              <w:t>SHELL PLC</w:t>
            </w:r>
          </w:p>
        </w:tc>
        <w:tc>
          <w:tcPr>
            <w:tcW w:w="4360" w:type="dxa"/>
            <w:vAlign w:val="bottom"/>
            <w:gridSpan w:val="3"/>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SHELL FINANCE US INC.</w:t>
            </w:r>
          </w:p>
        </w:tc>
      </w:tr>
      <w:tr>
        <w:trPr>
          <w:trHeight w:val="190"/>
        </w:trPr>
        <w:tc>
          <w:tcPr>
            <w:tcW w:w="4380" w:type="dxa"/>
            <w:vAlign w:val="bottom"/>
            <w:gridSpan w:val="3"/>
          </w:tcPr>
          <w:p>
            <w:pPr>
              <w:jc w:val="center"/>
              <w:ind w:right="111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4360" w:type="dxa"/>
            <w:vAlign w:val="bottom"/>
            <w:gridSpan w:val="3"/>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90"/>
        </w:trPr>
        <w:tc>
          <w:tcPr>
            <w:tcW w:w="4380" w:type="dxa"/>
            <w:vAlign w:val="bottom"/>
            <w:gridSpan w:val="3"/>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1920" w:type="dxa"/>
            <w:vAlign w:val="bottom"/>
          </w:tcPr>
          <w:p>
            <w:pPr>
              <w:spacing w:after="0"/>
              <w:rPr>
                <w:sz w:val="24"/>
                <w:szCs w:val="24"/>
                <w:color w:val="auto"/>
              </w:rPr>
            </w:pPr>
          </w:p>
        </w:tc>
        <w:tc>
          <w:tcPr>
            <w:tcW w:w="24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190"/>
        </w:trPr>
        <w:tc>
          <w:tcPr>
            <w:tcW w:w="4380" w:type="dxa"/>
            <w:vAlign w:val="bottom"/>
            <w:gridSpan w:val="3"/>
          </w:tcPr>
          <w:p>
            <w:pPr>
              <w:jc w:val="center"/>
              <w:ind w:right="1090"/>
              <w:spacing w:after="0"/>
              <w:rPr>
                <w:sz w:val="20"/>
                <w:szCs w:val="20"/>
                <w:color w:val="auto"/>
              </w:rPr>
            </w:pPr>
            <w:r>
              <w:rPr>
                <w:rFonts w:ascii="Times New Roman" w:cs="Times New Roman" w:eastAsia="Times New Roman" w:hAnsi="Times New Roman"/>
                <w:sz w:val="14"/>
                <w:szCs w:val="14"/>
                <w:b w:val="1"/>
                <w:bCs w:val="1"/>
                <w:color w:val="auto"/>
              </w:rPr>
              <w:t>(State of incorporation or organization)</w:t>
            </w:r>
          </w:p>
        </w:tc>
        <w:tc>
          <w:tcPr>
            <w:tcW w:w="4360" w:type="dxa"/>
            <w:vAlign w:val="bottom"/>
            <w:gridSpan w:val="3"/>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(State of incorporation or organization)</w:t>
            </w:r>
          </w:p>
        </w:tc>
      </w:tr>
      <w:tr>
        <w:trPr>
          <w:trHeight w:val="390"/>
        </w:trPr>
        <w:tc>
          <w:tcPr>
            <w:tcW w:w="1040" w:type="dxa"/>
            <w:vAlign w:val="bottom"/>
          </w:tcPr>
          <w:p>
            <w:pPr>
              <w:spacing w:after="0"/>
              <w:rPr>
                <w:sz w:val="24"/>
                <w:szCs w:val="24"/>
                <w:color w:val="auto"/>
              </w:rPr>
            </w:pPr>
          </w:p>
        </w:tc>
        <w:tc>
          <w:tcPr>
            <w:tcW w:w="3340" w:type="dxa"/>
            <w:vAlign w:val="bottom"/>
            <w:gridSpan w:val="2"/>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rPr>
              <w:t>N/A</w:t>
            </w:r>
          </w:p>
        </w:tc>
        <w:tc>
          <w:tcPr>
            <w:tcW w:w="3640" w:type="dxa"/>
            <w:vAlign w:val="bottom"/>
            <w:gridSpan w:val="2"/>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rPr>
              <w:t>93-4449519</w:t>
            </w:r>
          </w:p>
        </w:tc>
        <w:tc>
          <w:tcPr>
            <w:tcW w:w="720" w:type="dxa"/>
            <w:vAlign w:val="bottom"/>
          </w:tcPr>
          <w:p>
            <w:pPr>
              <w:spacing w:after="0"/>
              <w:rPr>
                <w:sz w:val="24"/>
                <w:szCs w:val="24"/>
                <w:color w:val="auto"/>
              </w:rPr>
            </w:pPr>
          </w:p>
        </w:tc>
      </w:tr>
      <w:tr>
        <w:trPr>
          <w:trHeight w:val="190"/>
        </w:trPr>
        <w:tc>
          <w:tcPr>
            <w:tcW w:w="4380" w:type="dxa"/>
            <w:vAlign w:val="bottom"/>
            <w:gridSpan w:val="3"/>
          </w:tcPr>
          <w:p>
            <w:pPr>
              <w:jc w:val="center"/>
              <w:ind w:right="109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4360" w:type="dxa"/>
            <w:vAlign w:val="bottom"/>
            <w:gridSpan w:val="3"/>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3"/>
        </w:trPr>
        <w:tc>
          <w:tcPr>
            <w:tcW w:w="1040" w:type="dxa"/>
            <w:vAlign w:val="bottom"/>
          </w:tcPr>
          <w:p>
            <w:pPr>
              <w:spacing w:after="0"/>
              <w:rPr>
                <w:sz w:val="24"/>
                <w:szCs w:val="24"/>
                <w:color w:val="auto"/>
              </w:rPr>
            </w:pPr>
          </w:p>
        </w:tc>
        <w:tc>
          <w:tcPr>
            <w:tcW w:w="3340" w:type="dxa"/>
            <w:vAlign w:val="bottom"/>
            <w:gridSpan w:val="2"/>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rPr>
              <w:t>Shell Centre</w:t>
            </w:r>
          </w:p>
        </w:tc>
        <w:tc>
          <w:tcPr>
            <w:tcW w:w="1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4380" w:type="dxa"/>
            <w:vAlign w:val="bottom"/>
            <w:gridSpan w:val="3"/>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London, SE1 7NA</w:t>
            </w:r>
          </w:p>
        </w:tc>
        <w:tc>
          <w:tcPr>
            <w:tcW w:w="1920" w:type="dxa"/>
            <w:vAlign w:val="bottom"/>
          </w:tcPr>
          <w:p>
            <w:pPr>
              <w:spacing w:after="0"/>
              <w:rPr>
                <w:sz w:val="18"/>
                <w:szCs w:val="18"/>
                <w:color w:val="auto"/>
              </w:rPr>
            </w:pPr>
          </w:p>
        </w:tc>
        <w:tc>
          <w:tcPr>
            <w:tcW w:w="24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150 N. Dairy Ashford</w:t>
            </w:r>
          </w:p>
        </w:tc>
      </w:tr>
      <w:tr>
        <w:trPr>
          <w:trHeight w:val="227"/>
        </w:trPr>
        <w:tc>
          <w:tcPr>
            <w:tcW w:w="4380" w:type="dxa"/>
            <w:vAlign w:val="bottom"/>
            <w:gridSpan w:val="3"/>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920" w:type="dxa"/>
            <w:vAlign w:val="bottom"/>
          </w:tcPr>
          <w:p>
            <w:pPr>
              <w:spacing w:after="0"/>
              <w:rPr>
                <w:sz w:val="19"/>
                <w:szCs w:val="19"/>
                <w:color w:val="auto"/>
              </w:rPr>
            </w:pPr>
          </w:p>
        </w:tc>
        <w:tc>
          <w:tcPr>
            <w:tcW w:w="24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Houston, Texas 77079</w:t>
            </w:r>
          </w:p>
        </w:tc>
      </w:tr>
      <w:tr>
        <w:trPr>
          <w:trHeight w:val="190"/>
        </w:trPr>
        <w:tc>
          <w:tcPr>
            <w:tcW w:w="4380" w:type="dxa"/>
            <w:vAlign w:val="bottom"/>
            <w:gridSpan w:val="3"/>
          </w:tcPr>
          <w:p>
            <w:pPr>
              <w:jc w:val="center"/>
              <w:ind w:right="111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360" w:type="dxa"/>
            <w:vAlign w:val="bottom"/>
            <w:gridSpan w:val="3"/>
          </w:tcPr>
          <w:p>
            <w:pPr>
              <w:jc w:val="center"/>
              <w:ind w:left="109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r>
      <w:tr>
        <w:trPr>
          <w:trHeight w:val="390"/>
        </w:trPr>
        <w:tc>
          <w:tcPr>
            <w:tcW w:w="1040" w:type="dxa"/>
            <w:vAlign w:val="bottom"/>
          </w:tcPr>
          <w:p>
            <w:pPr>
              <w:spacing w:after="0"/>
              <w:rPr>
                <w:sz w:val="24"/>
                <w:szCs w:val="24"/>
                <w:color w:val="auto"/>
              </w:rPr>
            </w:pPr>
          </w:p>
        </w:tc>
        <w:tc>
          <w:tcPr>
            <w:tcW w:w="3340" w:type="dxa"/>
            <w:vAlign w:val="bottom"/>
            <w:gridSpan w:val="2"/>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rPr>
              <w:t>N/A</w:t>
            </w:r>
          </w:p>
        </w:tc>
        <w:tc>
          <w:tcPr>
            <w:tcW w:w="3640" w:type="dxa"/>
            <w:vAlign w:val="bottom"/>
            <w:gridSpan w:val="2"/>
          </w:tcPr>
          <w:p>
            <w:pPr>
              <w:jc w:val="right"/>
              <w:ind w:right="557"/>
              <w:spacing w:after="0"/>
              <w:rPr>
                <w:sz w:val="20"/>
                <w:szCs w:val="20"/>
                <w:color w:val="auto"/>
              </w:rPr>
            </w:pPr>
            <w:r>
              <w:rPr>
                <w:rFonts w:ascii="Times New Roman" w:cs="Times New Roman" w:eastAsia="Times New Roman" w:hAnsi="Times New Roman"/>
                <w:sz w:val="18"/>
                <w:szCs w:val="18"/>
                <w:b w:val="1"/>
                <w:bCs w:val="1"/>
                <w:color w:val="auto"/>
              </w:rPr>
              <w:t>77079</w:t>
            </w:r>
          </w:p>
        </w:tc>
        <w:tc>
          <w:tcPr>
            <w:tcW w:w="720" w:type="dxa"/>
            <w:vAlign w:val="bottom"/>
          </w:tcPr>
          <w:p>
            <w:pPr>
              <w:spacing w:after="0"/>
              <w:rPr>
                <w:sz w:val="24"/>
                <w:szCs w:val="24"/>
                <w:color w:val="auto"/>
              </w:rPr>
            </w:pPr>
          </w:p>
        </w:tc>
      </w:tr>
      <w:tr>
        <w:trPr>
          <w:trHeight w:val="190"/>
        </w:trPr>
        <w:tc>
          <w:tcPr>
            <w:tcW w:w="1040" w:type="dxa"/>
            <w:vAlign w:val="bottom"/>
          </w:tcPr>
          <w:p>
            <w:pPr>
              <w:spacing w:after="0"/>
              <w:rPr>
                <w:sz w:val="16"/>
                <w:szCs w:val="16"/>
                <w:color w:val="auto"/>
              </w:rPr>
            </w:pPr>
          </w:p>
        </w:tc>
        <w:tc>
          <w:tcPr>
            <w:tcW w:w="3340" w:type="dxa"/>
            <w:vAlign w:val="bottom"/>
            <w:gridSpan w:val="2"/>
          </w:tcPr>
          <w:p>
            <w:pPr>
              <w:jc w:val="center"/>
              <w:ind w:right="213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1920" w:type="dxa"/>
            <w:vAlign w:val="bottom"/>
          </w:tcPr>
          <w:p>
            <w:pPr>
              <w:spacing w:after="0"/>
              <w:rPr>
                <w:sz w:val="16"/>
                <w:szCs w:val="16"/>
                <w:color w:val="auto"/>
              </w:rPr>
            </w:pPr>
          </w:p>
        </w:tc>
        <w:tc>
          <w:tcPr>
            <w:tcW w:w="24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1040" w:type="dxa"/>
            <w:vAlign w:val="bottom"/>
          </w:tcPr>
          <w:p>
            <w:pPr>
              <w:spacing w:after="0"/>
              <w:rPr>
                <w:sz w:val="24"/>
                <w:szCs w:val="24"/>
                <w:color w:val="auto"/>
              </w:rPr>
            </w:pPr>
          </w:p>
        </w:tc>
        <w:tc>
          <w:tcPr>
            <w:tcW w:w="770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r>
      <w:tr>
        <w:trPr>
          <w:trHeight w:val="367"/>
        </w:trPr>
        <w:tc>
          <w:tcPr>
            <w:tcW w:w="1040" w:type="dxa"/>
            <w:vAlign w:val="bottom"/>
          </w:tcPr>
          <w:p>
            <w:pPr>
              <w:spacing w:after="0"/>
              <w:rPr>
                <w:sz w:val="24"/>
                <w:szCs w:val="24"/>
                <w:color w:val="auto"/>
              </w:rPr>
            </w:pPr>
          </w:p>
        </w:tc>
        <w:tc>
          <w:tcPr>
            <w:tcW w:w="3340" w:type="dxa"/>
            <w:vAlign w:val="bottom"/>
            <w:gridSpan w:val="2"/>
          </w:tcPr>
          <w:p>
            <w:pPr>
              <w:jc w:val="center"/>
              <w:ind w:right="213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360" w:type="dxa"/>
            <w:vAlign w:val="bottom"/>
            <w:gridSpan w:val="3"/>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10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720" w:type="dxa"/>
            <w:vAlign w:val="bottom"/>
          </w:tcPr>
          <w:p>
            <w:pPr>
              <w:spacing w:after="0"/>
              <w:rPr>
                <w:sz w:val="15"/>
                <w:szCs w:val="15"/>
                <w:color w:val="auto"/>
              </w:rPr>
            </w:pPr>
          </w:p>
        </w:tc>
      </w:tr>
      <w:tr>
        <w:trPr>
          <w:trHeight w:val="187"/>
        </w:trPr>
        <w:tc>
          <w:tcPr>
            <w:tcW w:w="1040" w:type="dxa"/>
            <w:vAlign w:val="bottom"/>
          </w:tcPr>
          <w:p>
            <w:pPr>
              <w:jc w:val="right"/>
              <w:ind w:right="156"/>
              <w:spacing w:after="0" w:line="188" w:lineRule="exact"/>
              <w:rPr>
                <w:sz w:val="20"/>
                <w:szCs w:val="20"/>
                <w:color w:val="auto"/>
              </w:rPr>
            </w:pPr>
            <w:r>
              <w:rPr>
                <w:rFonts w:ascii="Times New Roman" w:cs="Times New Roman" w:eastAsia="Times New Roman" w:hAnsi="Times New Roman"/>
                <w:sz w:val="18"/>
                <w:szCs w:val="18"/>
                <w:b w:val="1"/>
                <w:bCs w:val="1"/>
                <w:color w:val="auto"/>
              </w:rPr>
              <w:t>3.875%</w:t>
            </w: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80"/>
              </w:rPr>
              <w:t>Guaranteed Notes</w:t>
            </w:r>
          </w:p>
        </w:tc>
        <w:tc>
          <w:tcPr>
            <w:tcW w:w="222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due 2028</w:t>
            </w:r>
          </w:p>
        </w:tc>
        <w:tc>
          <w:tcPr>
            <w:tcW w:w="3640" w:type="dxa"/>
            <w:vAlign w:val="bottom"/>
            <w:gridSpan w:val="2"/>
          </w:tcPr>
          <w:p>
            <w:pPr>
              <w:ind w:left="1760"/>
              <w:spacing w:after="0" w:line="188" w:lineRule="exact"/>
              <w:rPr>
                <w:sz w:val="20"/>
                <w:szCs w:val="20"/>
                <w:color w:val="auto"/>
              </w:rPr>
            </w:pPr>
            <w:r>
              <w:rPr>
                <w:rFonts w:ascii="Times New Roman" w:cs="Times New Roman" w:eastAsia="Times New Roman" w:hAnsi="Times New Roman"/>
                <w:sz w:val="18"/>
                <w:szCs w:val="18"/>
                <w:b w:val="1"/>
                <w:bCs w:val="1"/>
                <w:color w:val="auto"/>
                <w:w w:val="90"/>
              </w:rPr>
              <w:t>New York Stock Exchange</w:t>
            </w:r>
          </w:p>
        </w:tc>
        <w:tc>
          <w:tcPr>
            <w:tcW w:w="720" w:type="dxa"/>
            <w:vAlign w:val="bottom"/>
          </w:tcPr>
          <w:p>
            <w:pPr>
              <w:spacing w:after="0"/>
              <w:rPr>
                <w:sz w:val="16"/>
                <w:szCs w:val="16"/>
                <w:color w:val="auto"/>
              </w:rPr>
            </w:pPr>
          </w:p>
        </w:tc>
      </w:tr>
      <w:tr>
        <w:trPr>
          <w:trHeight w:val="216"/>
        </w:trPr>
        <w:tc>
          <w:tcPr>
            <w:tcW w:w="4380" w:type="dxa"/>
            <w:vAlign w:val="bottom"/>
            <w:gridSpan w:val="3"/>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6.375% Guaranteed Notes due 2038</w:t>
            </w:r>
          </w:p>
        </w:tc>
        <w:tc>
          <w:tcPr>
            <w:tcW w:w="4360" w:type="dxa"/>
            <w:vAlign w:val="bottom"/>
            <w:gridSpan w:val="3"/>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16"/>
        </w:trPr>
        <w:tc>
          <w:tcPr>
            <w:tcW w:w="4380" w:type="dxa"/>
            <w:vAlign w:val="bottom"/>
            <w:gridSpan w:val="3"/>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5.500% Guaranteed Notes due 2040</w:t>
            </w:r>
          </w:p>
        </w:tc>
        <w:tc>
          <w:tcPr>
            <w:tcW w:w="4360" w:type="dxa"/>
            <w:vAlign w:val="bottom"/>
            <w:gridSpan w:val="3"/>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16"/>
        </w:trPr>
        <w:tc>
          <w:tcPr>
            <w:tcW w:w="4380" w:type="dxa"/>
            <w:vAlign w:val="bottom"/>
            <w:gridSpan w:val="3"/>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5.125% Guaranteed Notes due 2041</w:t>
            </w:r>
          </w:p>
        </w:tc>
        <w:tc>
          <w:tcPr>
            <w:tcW w:w="4360" w:type="dxa"/>
            <w:vAlign w:val="bottom"/>
            <w:gridSpan w:val="3"/>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16"/>
        </w:trPr>
        <w:tc>
          <w:tcPr>
            <w:tcW w:w="4380" w:type="dxa"/>
            <w:vAlign w:val="bottom"/>
            <w:gridSpan w:val="3"/>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3.125% Guaranteed Notes due 2049</w:t>
            </w:r>
          </w:p>
        </w:tc>
        <w:tc>
          <w:tcPr>
            <w:tcW w:w="4360" w:type="dxa"/>
            <w:vAlign w:val="bottom"/>
            <w:gridSpan w:val="3"/>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4380" w:type="dxa"/>
            <w:vAlign w:val="bottom"/>
            <w:gridSpan w:val="3"/>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3.000% Guaranteed Notes due 2051</w:t>
            </w:r>
          </w:p>
        </w:tc>
        <w:tc>
          <w:tcPr>
            <w:tcW w:w="4360" w:type="dxa"/>
            <w:vAlign w:val="bottom"/>
            <w:gridSpan w:val="3"/>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333-296155, 333-296155-01</w:t>
      </w:r>
    </w:p>
    <w:p>
      <w:pPr>
        <w:spacing w:after="0" w:line="20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22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193675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80"/>
          </w:cols>
          <w:pgMar w:left="440" w:top="376" w:right="11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the securities to be registered is contained in the Prospectus dated June 8, 2026, which forms a part of the Registrants’ Registration Statement on Form F-4 (Nos. 333-296155, 333-296155-01),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exhibits are filed herewith and are incorporated herein by reference:</w:t>
      </w:r>
    </w:p>
    <w:p>
      <w:pPr>
        <w:spacing w:after="0" w:line="117" w:lineRule="exact"/>
        <w:rPr>
          <w:sz w:val="20"/>
          <w:szCs w:val="20"/>
          <w:color w:val="auto"/>
        </w:rPr>
      </w:pPr>
    </w:p>
    <w:p>
      <w:pPr>
        <w:ind w:right="120"/>
        <w:spacing w:after="0" w:line="282" w:lineRule="auto"/>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color w:val="auto"/>
          </w:rPr>
          <w:t xml:space="preserve">99.1 — </w:t>
        </w:r>
        <w:r>
          <w:rPr>
            <w:rFonts w:ascii="Times New Roman" w:cs="Times New Roman" w:eastAsia="Times New Roman" w:hAnsi="Times New Roman"/>
            <w:sz w:val="18"/>
            <w:szCs w:val="18"/>
            <w:u w:val="single" w:color="auto"/>
            <w:color w:val="0000EE"/>
          </w:rPr>
          <w:t>Form of Exchange Notes of Shell Finance US Inc. (incorporated by reference to Exhibit 4.3 to the Registration Statement on Form F-4 of the</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Registrants (Registration Numbers 333-296155, 333-296155-01) filed with the U.S. Securities and Exchange Commission on May 22, 2026).</w:t>
        </w:r>
      </w:hyperlink>
    </w:p>
    <w:p>
      <w:pPr>
        <w:spacing w:after="0" w:line="54"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color w:val="auto"/>
          </w:rPr>
          <w:t xml:space="preserve">99.2 — </w:t>
        </w:r>
        <w:r>
          <w:rPr>
            <w:rFonts w:ascii="Times New Roman" w:cs="Times New Roman" w:eastAsia="Times New Roman" w:hAnsi="Times New Roman"/>
            <w:sz w:val="18"/>
            <w:szCs w:val="18"/>
            <w:u w:val="single" w:color="auto"/>
            <w:color w:val="0000EE"/>
          </w:rPr>
          <w:t>Senior Indenture among the Registrants and Deutsche Bank Trust Company Americas, as trustee, dated as of October 8, 2024 (incorporated by</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reference to Exhibit 99.1 to the Report on Form 6-K (No. 001-32575) of Shell plc filed with the U.S. Securities and Exchange Commission on</w:t>
        </w:r>
      </w:hyperlink>
      <w:r>
        <w:rPr>
          <w:rFonts w:ascii="Times New Roman" w:cs="Times New Roman" w:eastAsia="Times New Roman" w:hAnsi="Times New Roman"/>
          <w:sz w:val="18"/>
          <w:szCs w:val="18"/>
          <w:u w:val="single" w:color="auto"/>
          <w:color w:val="0000EE"/>
        </w:rPr>
        <w:t xml:space="preserve"> </w:t>
      </w:r>
      <w:hyperlink r:id="rId17">
        <w:r>
          <w:rPr>
            <w:rFonts w:ascii="Times New Roman" w:cs="Times New Roman" w:eastAsia="Times New Roman" w:hAnsi="Times New Roman"/>
            <w:sz w:val="18"/>
            <w:szCs w:val="18"/>
            <w:u w:val="single" w:color="auto"/>
            <w:color w:val="0000EE"/>
          </w:rPr>
          <w:t>October 8, 2024).</w:t>
        </w:r>
      </w:hyperlink>
    </w:p>
    <w:p>
      <w:pPr>
        <w:sectPr>
          <w:pgSz w:w="11900" w:h="16838" w:orient="portrait"/>
          <w:cols w:equalWidth="0" w:num="1">
            <w:col w:w="10860"/>
          </w:cols>
          <w:pgMar w:left="440" w:top="266" w:right="599" w:bottom="1440" w:gutter="0" w:footer="0" w:header="0"/>
        </w:sectPr>
      </w:pPr>
    </w:p>
    <w:bookmarkStart w:id="2" w:name="page3"/>
    <w:bookmarkEnd w:id="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the requirements of Section 12 of the Securities Exchange Act of 1934, each of the Registrants has duly caused this Registration Statement to be signed on its behalf by the undersigned, thereto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29, 2026</w:t>
      </w:r>
    </w:p>
    <w:p>
      <w:pPr>
        <w:spacing w:after="0" w:line="252"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6620"/>
        <w:spacing w:after="0"/>
        <w:tabs>
          <w:tab w:leader="none" w:pos="7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Howard Lotgering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 Howard Lotgering Jones</w:t>
      </w:r>
    </w:p>
    <w:p>
      <w:pPr>
        <w:spacing w:after="0" w:line="2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Title: EVP Treasury and Corporate Finance</w:t>
      </w:r>
    </w:p>
    <w:p>
      <w:pPr>
        <w:spacing w:after="0" w:line="20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Shell Finance 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6620"/>
        <w:spacing w:after="0"/>
        <w:tabs>
          <w:tab w:leader="none" w:pos="7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Mitchell B. 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 Mitchell B. Ice</w:t>
      </w:r>
    </w:p>
    <w:p>
      <w:pPr>
        <w:spacing w:after="0" w:line="2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Title: Director and President (Principal Officer)</w:t>
      </w:r>
    </w:p>
    <w:sectPr>
      <w:pgSz w:w="11900" w:h="16838" w:orient="portrait"/>
      <w:cols w:equalWidth="0" w:num="1">
        <w:col w:w="10520"/>
      </w:cols>
      <w:pgMar w:left="440" w:top="270"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6" Type="http://schemas.openxmlformats.org/officeDocument/2006/relationships/hyperlink" Target="http://www.sec.gov/Archives/edgar/data/1306965/000119312526235606/d81051dex43.htm" TargetMode="External"/><Relationship Id="rId17" Type="http://schemas.openxmlformats.org/officeDocument/2006/relationships/hyperlink" Target="http://www.sec.gov/Archives/edgar/data/1306965/000095015724001395/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2026-06-29T15:23:50Z</dcterms:created>
  <dcterms:modified xsi:type="dcterms:W3CDTF">2026-06-29T15:23:50Z</dcterms:modified>
</cp:coreProperties>
</file>