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7"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May 22, 2026</w:t>
      </w:r>
    </w:p>
    <w:p>
      <w:pPr>
        <w:spacing w:after="0" w:line="18"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940435</wp:posOffset>
            </wp:positionH>
            <wp:positionV relativeFrom="paragraph">
              <wp:posOffset>53975</wp:posOffset>
            </wp:positionV>
            <wp:extent cx="528701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87010" cy="6350"/>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86360</wp:posOffset>
            </wp:positionV>
            <wp:extent cx="528701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87010" cy="6350"/>
                    </a:xfrm>
                    <a:prstGeom prst="rect">
                      <a:avLst/>
                    </a:prstGeom>
                    <a:noFill/>
                  </pic:spPr>
                </pic:pic>
              </a:graphicData>
            </a:graphic>
          </wp:anchor>
        </w:drawing>
      </w:r>
    </w:p>
    <w:p>
      <w:pPr>
        <w:spacing w:after="0" w:line="1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3027045</wp:posOffset>
            </wp:positionH>
            <wp:positionV relativeFrom="paragraph">
              <wp:posOffset>91440</wp:posOffset>
            </wp:positionV>
            <wp:extent cx="111442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4425" cy="6350"/>
                    </a:xfrm>
                    <a:prstGeom prst="rect">
                      <a:avLst/>
                    </a:prstGeom>
                    <a:noFill/>
                  </pic:spPr>
                </pic:pic>
              </a:graphicData>
            </a:graphic>
          </wp:anchor>
        </w:drawing>
      </w:r>
    </w:p>
    <w:p>
      <w:pPr>
        <w:spacing w:after="0" w:line="16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F-4</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3027045</wp:posOffset>
            </wp:positionH>
            <wp:positionV relativeFrom="paragraph">
              <wp:posOffset>92710</wp:posOffset>
            </wp:positionV>
            <wp:extent cx="111442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4425" cy="6350"/>
                    </a:xfrm>
                    <a:prstGeom prst="rect">
                      <a:avLst/>
                    </a:prstGeom>
                    <a:noFill/>
                  </pic:spPr>
                </pic:pic>
              </a:graphicData>
            </a:graphic>
          </wp:anchor>
        </w:drawing>
      </w:r>
    </w:p>
    <w:p>
      <w:pPr>
        <w:spacing w:after="0" w:line="200" w:lineRule="exact"/>
        <w:rPr>
          <w:sz w:val="24"/>
          <w:szCs w:val="24"/>
          <w:color w:val="auto"/>
        </w:rPr>
      </w:pPr>
    </w:p>
    <w:tbl>
      <w:tblPr>
        <w:tblLayout w:type="fixed"/>
        <w:tblInd w:w="2540" w:type="dxa"/>
        <w:tblCellMar>
          <w:top w:w="0" w:type="dxa"/>
          <w:left w:w="0" w:type="dxa"/>
          <w:bottom w:w="0" w:type="dxa"/>
          <w:right w:w="0" w:type="dxa"/>
        </w:tblCellMar>
      </w:tblPr>
      <w:tr>
        <w:trPr>
          <w:trHeight w:val="268"/>
        </w:trPr>
        <w:tc>
          <w:tcPr>
            <w:tcW w:w="3020" w:type="dxa"/>
            <w:vAlign w:val="bottom"/>
          </w:tcPr>
          <w:p>
            <w:pPr>
              <w:jc w:val="center"/>
              <w:ind w:right="847"/>
              <w:spacing w:after="0"/>
              <w:rPr>
                <w:sz w:val="20"/>
                <w:szCs w:val="20"/>
                <w:color w:val="auto"/>
              </w:rPr>
            </w:pPr>
            <w:r>
              <w:rPr>
                <w:rFonts w:ascii="Times New Roman" w:cs="Times New Roman" w:eastAsia="Times New Roman" w:hAnsi="Times New Roman"/>
                <w:sz w:val="22"/>
                <w:szCs w:val="22"/>
                <w:b w:val="1"/>
                <w:bCs w:val="1"/>
                <w:color w:val="auto"/>
                <w:w w:val="99"/>
              </w:rPr>
              <w:t>SHELL PLC</w:t>
            </w:r>
          </w:p>
        </w:tc>
        <w:tc>
          <w:tcPr>
            <w:tcW w:w="3540" w:type="dxa"/>
            <w:vAlign w:val="bottom"/>
          </w:tcPr>
          <w:p>
            <w:pPr>
              <w:jc w:val="center"/>
              <w:ind w:left="847"/>
              <w:spacing w:after="0"/>
              <w:rPr>
                <w:sz w:val="20"/>
                <w:szCs w:val="20"/>
                <w:color w:val="auto"/>
              </w:rPr>
            </w:pPr>
            <w:r>
              <w:rPr>
                <w:rFonts w:ascii="Times New Roman" w:cs="Times New Roman" w:eastAsia="Times New Roman" w:hAnsi="Times New Roman"/>
                <w:sz w:val="22"/>
                <w:szCs w:val="22"/>
                <w:b w:val="1"/>
                <w:bCs w:val="1"/>
                <w:color w:val="auto"/>
                <w:w w:val="99"/>
              </w:rPr>
              <w:t>SHELL FINANCE US INC.</w:t>
            </w:r>
          </w:p>
        </w:tc>
      </w:tr>
      <w:tr>
        <w:trPr>
          <w:trHeight w:val="125"/>
        </w:trPr>
        <w:tc>
          <w:tcPr>
            <w:tcW w:w="3020" w:type="dxa"/>
            <w:vAlign w:val="bottom"/>
          </w:tcPr>
          <w:p>
            <w:pPr>
              <w:jc w:val="center"/>
              <w:ind w:right="847"/>
              <w:spacing w:after="0"/>
              <w:rPr>
                <w:sz w:val="20"/>
                <w:szCs w:val="20"/>
                <w:color w:val="auto"/>
              </w:rPr>
            </w:pPr>
            <w:r>
              <w:rPr>
                <w:rFonts w:ascii="Times New Roman" w:cs="Times New Roman" w:eastAsia="Times New Roman" w:hAnsi="Times New Roman"/>
                <w:sz w:val="10"/>
                <w:szCs w:val="10"/>
                <w:b w:val="1"/>
                <w:bCs w:val="1"/>
                <w:color w:val="auto"/>
                <w:w w:val="94"/>
              </w:rPr>
              <w:t>(Exact name of registrant as specified in its charter)</w:t>
            </w:r>
          </w:p>
        </w:tc>
        <w:tc>
          <w:tcPr>
            <w:tcW w:w="3540" w:type="dxa"/>
            <w:vAlign w:val="bottom"/>
          </w:tcPr>
          <w:p>
            <w:pPr>
              <w:jc w:val="center"/>
              <w:ind w:left="847"/>
              <w:spacing w:after="0"/>
              <w:rPr>
                <w:sz w:val="20"/>
                <w:szCs w:val="20"/>
                <w:color w:val="auto"/>
              </w:rPr>
            </w:pPr>
            <w:r>
              <w:rPr>
                <w:rFonts w:ascii="Times New Roman" w:cs="Times New Roman" w:eastAsia="Times New Roman" w:hAnsi="Times New Roman"/>
                <w:sz w:val="10"/>
                <w:szCs w:val="10"/>
                <w:b w:val="1"/>
                <w:bCs w:val="1"/>
                <w:color w:val="auto"/>
                <w:w w:val="94"/>
              </w:rPr>
              <w:t>(Exact name of registrant as specified in its charter)</w:t>
            </w:r>
          </w:p>
        </w:tc>
      </w:tr>
      <w:tr>
        <w:trPr>
          <w:trHeight w:val="192"/>
        </w:trPr>
        <w:tc>
          <w:tcPr>
            <w:tcW w:w="3020" w:type="dxa"/>
            <w:vAlign w:val="bottom"/>
          </w:tcPr>
          <w:p>
            <w:pPr>
              <w:jc w:val="center"/>
              <w:ind w:right="847"/>
              <w:spacing w:after="0"/>
              <w:rPr>
                <w:sz w:val="20"/>
                <w:szCs w:val="20"/>
                <w:color w:val="auto"/>
              </w:rPr>
            </w:pPr>
            <w:r>
              <w:rPr>
                <w:rFonts w:ascii="Times New Roman" w:cs="Times New Roman" w:eastAsia="Times New Roman" w:hAnsi="Times New Roman"/>
                <w:sz w:val="12"/>
                <w:szCs w:val="12"/>
                <w:b w:val="1"/>
                <w:bCs w:val="1"/>
                <w:color w:val="auto"/>
              </w:rPr>
              <w:t>England and Wales</w:t>
            </w:r>
          </w:p>
        </w:tc>
        <w:tc>
          <w:tcPr>
            <w:tcW w:w="3540" w:type="dxa"/>
            <w:vAlign w:val="bottom"/>
          </w:tcPr>
          <w:p>
            <w:pPr>
              <w:jc w:val="center"/>
              <w:ind w:left="847"/>
              <w:spacing w:after="0"/>
              <w:rPr>
                <w:sz w:val="20"/>
                <w:szCs w:val="20"/>
                <w:color w:val="auto"/>
              </w:rPr>
            </w:pPr>
            <w:r>
              <w:rPr>
                <w:rFonts w:ascii="Times New Roman" w:cs="Times New Roman" w:eastAsia="Times New Roman" w:hAnsi="Times New Roman"/>
                <w:sz w:val="12"/>
                <w:szCs w:val="12"/>
                <w:b w:val="1"/>
                <w:bCs w:val="1"/>
                <w:color w:val="auto"/>
              </w:rPr>
              <w:t>Delaware</w:t>
            </w:r>
          </w:p>
        </w:tc>
      </w:tr>
    </w:tbl>
    <w:p>
      <w:pPr>
        <w:spacing w:after="0" w:line="1" w:lineRule="exact"/>
        <w:rPr>
          <w:sz w:val="24"/>
          <w:szCs w:val="24"/>
          <w:color w:val="auto"/>
        </w:rPr>
      </w:pPr>
    </w:p>
    <w:p>
      <w:pPr>
        <w:sectPr>
          <w:pgSz w:w="11900" w:h="16838" w:orient="portrait"/>
          <w:cols w:equalWidth="0" w:num="1">
            <w:col w:w="10159"/>
          </w:cols>
          <w:pgMar w:left="300" w:top="204" w:right="1440" w:bottom="1440" w:gutter="0" w:footer="0" w:header="0"/>
        </w:sectPr>
      </w:pPr>
    </w:p>
    <w:p>
      <w:pPr>
        <w:ind w:left="2980"/>
        <w:spacing w:after="0"/>
        <w:rPr>
          <w:sz w:val="20"/>
          <w:szCs w:val="20"/>
          <w:color w:val="auto"/>
        </w:rPr>
      </w:pPr>
      <w:r>
        <w:rPr>
          <w:rFonts w:ascii="Times New Roman" w:cs="Times New Roman" w:eastAsia="Times New Roman" w:hAnsi="Times New Roman"/>
          <w:sz w:val="8"/>
          <w:szCs w:val="8"/>
          <w:b w:val="1"/>
          <w:bCs w:val="1"/>
          <w:color w:val="auto"/>
        </w:rPr>
        <w:t>(State or other jurisdiction of</w:t>
      </w:r>
    </w:p>
    <w:p>
      <w:pPr>
        <w:spacing w:after="0" w:line="12"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8"/>
          <w:szCs w:val="8"/>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8"/>
          <w:szCs w:val="8"/>
          <w:b w:val="1"/>
          <w:bCs w:val="1"/>
          <w:color w:val="auto"/>
        </w:rPr>
        <w:t>(State or other jurisdiction of</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incorporation or organization)</w:t>
      </w:r>
    </w:p>
    <w:p>
      <w:pPr>
        <w:spacing w:after="0" w:line="62" w:lineRule="exact"/>
        <w:rPr>
          <w:sz w:val="24"/>
          <w:szCs w:val="24"/>
          <w:color w:val="auto"/>
        </w:rPr>
      </w:pPr>
    </w:p>
    <w:p>
      <w:pPr>
        <w:sectPr>
          <w:pgSz w:w="11900" w:h="16838" w:orient="portrait"/>
          <w:cols w:equalWidth="0" w:num="2">
            <w:col w:w="6440" w:space="720"/>
            <w:col w:w="2999"/>
          </w:cols>
          <w:pgMar w:left="300" w:top="204" w:right="1440" w:bottom="1440" w:gutter="0" w:footer="0" w:header="0"/>
          <w:type w:val="continuous"/>
        </w:sectPr>
      </w:pPr>
    </w:p>
    <w:tbl>
      <w:tblPr>
        <w:tblLayout w:type="fixed"/>
        <w:tblInd w:w="2060" w:type="dxa"/>
        <w:tblCellMar>
          <w:top w:w="0" w:type="dxa"/>
          <w:left w:w="0" w:type="dxa"/>
          <w:bottom w:w="0" w:type="dxa"/>
          <w:right w:w="0" w:type="dxa"/>
        </w:tblCellMar>
      </w:tblPr>
      <w:tr>
        <w:trPr>
          <w:trHeight w:val="151"/>
        </w:trPr>
        <w:tc>
          <w:tcPr>
            <w:tcW w:w="3520" w:type="dxa"/>
            <w:vAlign w:val="bottom"/>
          </w:tcPr>
          <w:p>
            <w:pPr>
              <w:jc w:val="center"/>
              <w:ind w:right="403"/>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3940" w:type="dxa"/>
            <w:vAlign w:val="bottom"/>
          </w:tcPr>
          <w:p>
            <w:pPr>
              <w:jc w:val="center"/>
              <w:ind w:left="424"/>
              <w:spacing w:after="0"/>
              <w:rPr>
                <w:sz w:val="20"/>
                <w:szCs w:val="20"/>
                <w:color w:val="auto"/>
              </w:rPr>
            </w:pPr>
            <w:r>
              <w:rPr>
                <w:rFonts w:ascii="Times New Roman" w:cs="Times New Roman" w:eastAsia="Times New Roman" w:hAnsi="Times New Roman"/>
                <w:sz w:val="12"/>
                <w:szCs w:val="12"/>
                <w:b w:val="1"/>
                <w:bCs w:val="1"/>
                <w:color w:val="auto"/>
                <w:w w:val="99"/>
              </w:rPr>
              <w:t>93-4449519</w:t>
            </w:r>
          </w:p>
        </w:tc>
      </w:tr>
      <w:tr>
        <w:trPr>
          <w:trHeight w:val="102"/>
        </w:trPr>
        <w:tc>
          <w:tcPr>
            <w:tcW w:w="3520" w:type="dxa"/>
            <w:vAlign w:val="bottom"/>
          </w:tcPr>
          <w:p>
            <w:pPr>
              <w:jc w:val="center"/>
              <w:ind w:right="423"/>
              <w:spacing w:after="0" w:line="102" w:lineRule="exact"/>
              <w:rPr>
                <w:sz w:val="20"/>
                <w:szCs w:val="20"/>
                <w:color w:val="auto"/>
              </w:rPr>
            </w:pPr>
            <w:r>
              <w:rPr>
                <w:rFonts w:ascii="Times New Roman" w:cs="Times New Roman" w:eastAsia="Times New Roman" w:hAnsi="Times New Roman"/>
                <w:sz w:val="10"/>
                <w:szCs w:val="10"/>
                <w:b w:val="1"/>
                <w:bCs w:val="1"/>
                <w:color w:val="auto"/>
                <w:w w:val="94"/>
              </w:rPr>
              <w:t>(I.R.S. Employer</w:t>
            </w:r>
          </w:p>
        </w:tc>
        <w:tc>
          <w:tcPr>
            <w:tcW w:w="3940" w:type="dxa"/>
            <w:vAlign w:val="bottom"/>
          </w:tcPr>
          <w:p>
            <w:pPr>
              <w:jc w:val="center"/>
              <w:ind w:left="424"/>
              <w:spacing w:after="0" w:line="102" w:lineRule="exact"/>
              <w:rPr>
                <w:sz w:val="20"/>
                <w:szCs w:val="20"/>
                <w:color w:val="auto"/>
              </w:rPr>
            </w:pPr>
            <w:r>
              <w:rPr>
                <w:rFonts w:ascii="Times New Roman" w:cs="Times New Roman" w:eastAsia="Times New Roman" w:hAnsi="Times New Roman"/>
                <w:sz w:val="10"/>
                <w:szCs w:val="10"/>
                <w:b w:val="1"/>
                <w:bCs w:val="1"/>
                <w:color w:val="auto"/>
                <w:w w:val="96"/>
              </w:rPr>
              <w:t>(I.R.S. Employer</w:t>
            </w:r>
          </w:p>
        </w:tc>
      </w:tr>
      <w:tr>
        <w:trPr>
          <w:trHeight w:val="104"/>
        </w:trPr>
        <w:tc>
          <w:tcPr>
            <w:tcW w:w="3520" w:type="dxa"/>
            <w:vAlign w:val="bottom"/>
          </w:tcPr>
          <w:p>
            <w:pPr>
              <w:jc w:val="center"/>
              <w:ind w:right="403"/>
              <w:spacing w:after="0" w:line="104" w:lineRule="exact"/>
              <w:rPr>
                <w:sz w:val="20"/>
                <w:szCs w:val="20"/>
                <w:color w:val="auto"/>
              </w:rPr>
            </w:pPr>
            <w:r>
              <w:rPr>
                <w:rFonts w:ascii="Times New Roman" w:cs="Times New Roman" w:eastAsia="Times New Roman" w:hAnsi="Times New Roman"/>
                <w:sz w:val="10"/>
                <w:szCs w:val="10"/>
                <w:b w:val="1"/>
                <w:bCs w:val="1"/>
                <w:color w:val="auto"/>
                <w:w w:val="94"/>
              </w:rPr>
              <w:t>Identification No.)</w:t>
            </w:r>
          </w:p>
        </w:tc>
        <w:tc>
          <w:tcPr>
            <w:tcW w:w="3940" w:type="dxa"/>
            <w:vAlign w:val="bottom"/>
          </w:tcPr>
          <w:p>
            <w:pPr>
              <w:jc w:val="center"/>
              <w:ind w:left="424"/>
              <w:spacing w:after="0" w:line="104" w:lineRule="exact"/>
              <w:rPr>
                <w:sz w:val="20"/>
                <w:szCs w:val="20"/>
                <w:color w:val="auto"/>
              </w:rPr>
            </w:pPr>
            <w:r>
              <w:rPr>
                <w:rFonts w:ascii="Times New Roman" w:cs="Times New Roman" w:eastAsia="Times New Roman" w:hAnsi="Times New Roman"/>
                <w:sz w:val="10"/>
                <w:szCs w:val="10"/>
                <w:b w:val="1"/>
                <w:bCs w:val="1"/>
                <w:color w:val="auto"/>
                <w:w w:val="94"/>
              </w:rPr>
              <w:t>Identification No.)</w:t>
            </w:r>
          </w:p>
        </w:tc>
      </w:tr>
      <w:tr>
        <w:trPr>
          <w:trHeight w:val="151"/>
        </w:trPr>
        <w:tc>
          <w:tcPr>
            <w:tcW w:w="3520" w:type="dxa"/>
            <w:vAlign w:val="bottom"/>
          </w:tcPr>
          <w:p>
            <w:pPr>
              <w:jc w:val="center"/>
              <w:ind w:right="423"/>
              <w:spacing w:after="0"/>
              <w:rPr>
                <w:sz w:val="20"/>
                <w:szCs w:val="20"/>
                <w:color w:val="auto"/>
              </w:rPr>
            </w:pPr>
            <w:r>
              <w:rPr>
                <w:rFonts w:ascii="Times New Roman" w:cs="Times New Roman" w:eastAsia="Times New Roman" w:hAnsi="Times New Roman"/>
                <w:sz w:val="12"/>
                <w:szCs w:val="12"/>
                <w:b w:val="1"/>
                <w:bCs w:val="1"/>
                <w:color w:val="auto"/>
                <w:w w:val="99"/>
              </w:rPr>
              <w:t>2911</w:t>
            </w:r>
          </w:p>
        </w:tc>
        <w:tc>
          <w:tcPr>
            <w:tcW w:w="3940" w:type="dxa"/>
            <w:vAlign w:val="bottom"/>
          </w:tcPr>
          <w:p>
            <w:pPr>
              <w:jc w:val="center"/>
              <w:ind w:left="404"/>
              <w:spacing w:after="0"/>
              <w:rPr>
                <w:sz w:val="20"/>
                <w:szCs w:val="20"/>
                <w:color w:val="auto"/>
              </w:rPr>
            </w:pPr>
            <w:r>
              <w:rPr>
                <w:rFonts w:ascii="Times New Roman" w:cs="Times New Roman" w:eastAsia="Times New Roman" w:hAnsi="Times New Roman"/>
                <w:sz w:val="12"/>
                <w:szCs w:val="12"/>
                <w:b w:val="1"/>
                <w:bCs w:val="1"/>
                <w:color w:val="auto"/>
                <w:w w:val="99"/>
              </w:rPr>
              <w:t>2911</w:t>
            </w:r>
          </w:p>
        </w:tc>
      </w:tr>
      <w:tr>
        <w:trPr>
          <w:trHeight w:val="102"/>
        </w:trPr>
        <w:tc>
          <w:tcPr>
            <w:tcW w:w="3520" w:type="dxa"/>
            <w:vAlign w:val="bottom"/>
          </w:tcPr>
          <w:p>
            <w:pPr>
              <w:jc w:val="center"/>
              <w:ind w:right="423"/>
              <w:spacing w:after="0" w:line="102" w:lineRule="exact"/>
              <w:rPr>
                <w:sz w:val="20"/>
                <w:szCs w:val="20"/>
                <w:color w:val="auto"/>
              </w:rPr>
            </w:pPr>
            <w:r>
              <w:rPr>
                <w:rFonts w:ascii="Times New Roman" w:cs="Times New Roman" w:eastAsia="Times New Roman" w:hAnsi="Times New Roman"/>
                <w:sz w:val="10"/>
                <w:szCs w:val="10"/>
                <w:b w:val="1"/>
                <w:bCs w:val="1"/>
                <w:color w:val="auto"/>
                <w:w w:val="94"/>
              </w:rPr>
              <w:t>(Primary Standard Industrial</w:t>
            </w:r>
          </w:p>
        </w:tc>
        <w:tc>
          <w:tcPr>
            <w:tcW w:w="3940" w:type="dxa"/>
            <w:vAlign w:val="bottom"/>
          </w:tcPr>
          <w:p>
            <w:pPr>
              <w:jc w:val="center"/>
              <w:ind w:left="424"/>
              <w:spacing w:after="0" w:line="102" w:lineRule="exact"/>
              <w:rPr>
                <w:sz w:val="20"/>
                <w:szCs w:val="20"/>
                <w:color w:val="auto"/>
              </w:rPr>
            </w:pPr>
            <w:r>
              <w:rPr>
                <w:rFonts w:ascii="Times New Roman" w:cs="Times New Roman" w:eastAsia="Times New Roman" w:hAnsi="Times New Roman"/>
                <w:sz w:val="10"/>
                <w:szCs w:val="10"/>
                <w:b w:val="1"/>
                <w:bCs w:val="1"/>
                <w:color w:val="auto"/>
                <w:w w:val="95"/>
              </w:rPr>
              <w:t>(Primary Standard Industrial</w:t>
            </w:r>
          </w:p>
        </w:tc>
      </w:tr>
      <w:tr>
        <w:trPr>
          <w:trHeight w:val="125"/>
        </w:trPr>
        <w:tc>
          <w:tcPr>
            <w:tcW w:w="3520" w:type="dxa"/>
            <w:vAlign w:val="bottom"/>
          </w:tcPr>
          <w:p>
            <w:pPr>
              <w:jc w:val="center"/>
              <w:ind w:right="403"/>
              <w:spacing w:after="0"/>
              <w:rPr>
                <w:sz w:val="20"/>
                <w:szCs w:val="20"/>
                <w:color w:val="auto"/>
              </w:rPr>
            </w:pPr>
            <w:r>
              <w:rPr>
                <w:rFonts w:ascii="Times New Roman" w:cs="Times New Roman" w:eastAsia="Times New Roman" w:hAnsi="Times New Roman"/>
                <w:sz w:val="10"/>
                <w:szCs w:val="10"/>
                <w:b w:val="1"/>
                <w:bCs w:val="1"/>
                <w:color w:val="auto"/>
                <w:w w:val="95"/>
              </w:rPr>
              <w:t>Classification Code Number)</w:t>
            </w:r>
          </w:p>
        </w:tc>
        <w:tc>
          <w:tcPr>
            <w:tcW w:w="3940" w:type="dxa"/>
            <w:vAlign w:val="bottom"/>
          </w:tcPr>
          <w:p>
            <w:pPr>
              <w:jc w:val="center"/>
              <w:ind w:left="424"/>
              <w:spacing w:after="0"/>
              <w:rPr>
                <w:sz w:val="20"/>
                <w:szCs w:val="20"/>
                <w:color w:val="auto"/>
              </w:rPr>
            </w:pPr>
            <w:r>
              <w:rPr>
                <w:rFonts w:ascii="Times New Roman" w:cs="Times New Roman" w:eastAsia="Times New Roman" w:hAnsi="Times New Roman"/>
                <w:sz w:val="10"/>
                <w:szCs w:val="10"/>
                <w:b w:val="1"/>
                <w:bCs w:val="1"/>
                <w:color w:val="auto"/>
                <w:w w:val="95"/>
              </w:rPr>
              <w:t>Classification Code Number)</w:t>
            </w:r>
          </w:p>
        </w:tc>
      </w:tr>
      <w:tr>
        <w:trPr>
          <w:trHeight w:val="194"/>
        </w:trPr>
        <w:tc>
          <w:tcPr>
            <w:tcW w:w="3520" w:type="dxa"/>
            <w:vAlign w:val="bottom"/>
          </w:tcPr>
          <w:p>
            <w:pPr>
              <w:jc w:val="center"/>
              <w:ind w:right="423"/>
              <w:spacing w:after="0"/>
              <w:rPr>
                <w:sz w:val="20"/>
                <w:szCs w:val="20"/>
                <w:color w:val="auto"/>
              </w:rPr>
            </w:pPr>
            <w:r>
              <w:rPr>
                <w:rFonts w:ascii="Times New Roman" w:cs="Times New Roman" w:eastAsia="Times New Roman" w:hAnsi="Times New Roman"/>
                <w:sz w:val="12"/>
                <w:szCs w:val="12"/>
                <w:b w:val="1"/>
                <w:bCs w:val="1"/>
                <w:color w:val="auto"/>
              </w:rPr>
              <w:t>Shell Centre</w:t>
            </w:r>
          </w:p>
        </w:tc>
        <w:tc>
          <w:tcPr>
            <w:tcW w:w="3940" w:type="dxa"/>
            <w:vAlign w:val="bottom"/>
          </w:tcPr>
          <w:p>
            <w:pPr>
              <w:jc w:val="center"/>
              <w:ind w:left="404"/>
              <w:spacing w:after="0"/>
              <w:rPr>
                <w:sz w:val="20"/>
                <w:szCs w:val="20"/>
                <w:color w:val="auto"/>
              </w:rPr>
            </w:pPr>
            <w:r>
              <w:rPr>
                <w:rFonts w:ascii="Times New Roman" w:cs="Times New Roman" w:eastAsia="Times New Roman" w:hAnsi="Times New Roman"/>
                <w:sz w:val="12"/>
                <w:szCs w:val="12"/>
                <w:b w:val="1"/>
                <w:bCs w:val="1"/>
                <w:color w:val="auto"/>
              </w:rPr>
              <w:t>150 N. Dairy Ashford</w:t>
            </w:r>
          </w:p>
        </w:tc>
      </w:tr>
      <w:tr>
        <w:trPr>
          <w:trHeight w:val="153"/>
        </w:trPr>
        <w:tc>
          <w:tcPr>
            <w:tcW w:w="3520" w:type="dxa"/>
            <w:vAlign w:val="bottom"/>
          </w:tcPr>
          <w:p>
            <w:pPr>
              <w:jc w:val="center"/>
              <w:ind w:right="423"/>
              <w:spacing w:after="0"/>
              <w:rPr>
                <w:sz w:val="20"/>
                <w:szCs w:val="20"/>
                <w:color w:val="auto"/>
              </w:rPr>
            </w:pPr>
            <w:r>
              <w:rPr>
                <w:rFonts w:ascii="Times New Roman" w:cs="Times New Roman" w:eastAsia="Times New Roman" w:hAnsi="Times New Roman"/>
                <w:sz w:val="12"/>
                <w:szCs w:val="12"/>
                <w:b w:val="1"/>
                <w:bCs w:val="1"/>
                <w:color w:val="auto"/>
              </w:rPr>
              <w:t>London, SE1 7NA</w:t>
            </w:r>
          </w:p>
        </w:tc>
        <w:tc>
          <w:tcPr>
            <w:tcW w:w="3940" w:type="dxa"/>
            <w:vAlign w:val="bottom"/>
          </w:tcPr>
          <w:p>
            <w:pPr>
              <w:jc w:val="center"/>
              <w:ind w:left="424"/>
              <w:spacing w:after="0"/>
              <w:rPr>
                <w:sz w:val="20"/>
                <w:szCs w:val="20"/>
                <w:color w:val="auto"/>
              </w:rPr>
            </w:pPr>
            <w:r>
              <w:rPr>
                <w:rFonts w:ascii="Times New Roman" w:cs="Times New Roman" w:eastAsia="Times New Roman" w:hAnsi="Times New Roman"/>
                <w:sz w:val="12"/>
                <w:szCs w:val="12"/>
                <w:b w:val="1"/>
                <w:bCs w:val="1"/>
                <w:color w:val="auto"/>
              </w:rPr>
              <w:t>Houston, Texas 77079</w:t>
            </w:r>
          </w:p>
        </w:tc>
      </w:tr>
      <w:tr>
        <w:trPr>
          <w:trHeight w:val="153"/>
        </w:trPr>
        <w:tc>
          <w:tcPr>
            <w:tcW w:w="3520" w:type="dxa"/>
            <w:vAlign w:val="bottom"/>
          </w:tcPr>
          <w:p>
            <w:pPr>
              <w:jc w:val="center"/>
              <w:ind w:right="423"/>
              <w:spacing w:after="0"/>
              <w:rPr>
                <w:sz w:val="20"/>
                <w:szCs w:val="20"/>
                <w:color w:val="auto"/>
              </w:rPr>
            </w:pPr>
            <w:r>
              <w:rPr>
                <w:rFonts w:ascii="Times New Roman" w:cs="Times New Roman" w:eastAsia="Times New Roman" w:hAnsi="Times New Roman"/>
                <w:sz w:val="12"/>
                <w:szCs w:val="12"/>
                <w:b w:val="1"/>
                <w:bCs w:val="1"/>
                <w:color w:val="auto"/>
              </w:rPr>
              <w:t>United Kingdom</w:t>
            </w:r>
          </w:p>
        </w:tc>
        <w:tc>
          <w:tcPr>
            <w:tcW w:w="3940" w:type="dxa"/>
            <w:vAlign w:val="bottom"/>
          </w:tcPr>
          <w:p>
            <w:pPr>
              <w:jc w:val="center"/>
              <w:ind w:left="424"/>
              <w:spacing w:after="0"/>
              <w:rPr>
                <w:sz w:val="20"/>
                <w:szCs w:val="20"/>
                <w:color w:val="auto"/>
              </w:rPr>
            </w:pPr>
            <w:r>
              <w:rPr>
                <w:rFonts w:ascii="Times New Roman" w:cs="Times New Roman" w:eastAsia="Times New Roman" w:hAnsi="Times New Roman"/>
                <w:sz w:val="12"/>
                <w:szCs w:val="12"/>
                <w:b w:val="1"/>
                <w:bCs w:val="1"/>
                <w:color w:val="auto"/>
              </w:rPr>
              <w:t>United States of America</w:t>
            </w:r>
          </w:p>
        </w:tc>
      </w:tr>
      <w:tr>
        <w:trPr>
          <w:trHeight w:val="161"/>
        </w:trPr>
        <w:tc>
          <w:tcPr>
            <w:tcW w:w="3520" w:type="dxa"/>
            <w:vAlign w:val="bottom"/>
          </w:tcPr>
          <w:p>
            <w:pPr>
              <w:jc w:val="center"/>
              <w:ind w:right="403"/>
              <w:spacing w:after="0"/>
              <w:rPr>
                <w:sz w:val="20"/>
                <w:szCs w:val="20"/>
                <w:color w:val="auto"/>
              </w:rPr>
            </w:pPr>
            <w:r>
              <w:rPr>
                <w:rFonts w:ascii="Times New Roman" w:cs="Times New Roman" w:eastAsia="Times New Roman" w:hAnsi="Times New Roman"/>
                <w:sz w:val="12"/>
                <w:szCs w:val="12"/>
                <w:b w:val="1"/>
                <w:bCs w:val="1"/>
                <w:color w:val="auto"/>
              </w:rPr>
              <w:t>+44 20 7943 1234</w:t>
            </w:r>
          </w:p>
        </w:tc>
        <w:tc>
          <w:tcPr>
            <w:tcW w:w="3940" w:type="dxa"/>
            <w:vAlign w:val="bottom"/>
          </w:tcPr>
          <w:p>
            <w:pPr>
              <w:jc w:val="center"/>
              <w:ind w:left="424"/>
              <w:spacing w:after="0"/>
              <w:rPr>
                <w:sz w:val="20"/>
                <w:szCs w:val="20"/>
                <w:color w:val="auto"/>
              </w:rPr>
            </w:pPr>
            <w:r>
              <w:rPr>
                <w:rFonts w:ascii="Times New Roman" w:cs="Times New Roman" w:eastAsia="Times New Roman" w:hAnsi="Times New Roman"/>
                <w:sz w:val="12"/>
                <w:szCs w:val="12"/>
                <w:b w:val="1"/>
                <w:bCs w:val="1"/>
                <w:color w:val="auto"/>
              </w:rPr>
              <w:t>+1-(832) 337-2000</w:t>
            </w:r>
          </w:p>
        </w:tc>
      </w:tr>
      <w:tr>
        <w:trPr>
          <w:trHeight w:val="125"/>
        </w:trPr>
        <w:tc>
          <w:tcPr>
            <w:tcW w:w="3520" w:type="dxa"/>
            <w:vAlign w:val="bottom"/>
          </w:tcPr>
          <w:p>
            <w:pPr>
              <w:jc w:val="center"/>
              <w:ind w:right="423"/>
              <w:spacing w:after="0"/>
              <w:rPr>
                <w:sz w:val="20"/>
                <w:szCs w:val="20"/>
                <w:color w:val="auto"/>
              </w:rPr>
            </w:pPr>
            <w:r>
              <w:rPr>
                <w:rFonts w:ascii="Times New Roman" w:cs="Times New Roman" w:eastAsia="Times New Roman" w:hAnsi="Times New Roman"/>
                <w:sz w:val="10"/>
                <w:szCs w:val="10"/>
                <w:b w:val="1"/>
                <w:bCs w:val="1"/>
                <w:color w:val="auto"/>
                <w:w w:val="95"/>
              </w:rPr>
              <w:t>(Address and telephone number of Registrant’s principal executive offices)</w:t>
            </w:r>
          </w:p>
        </w:tc>
        <w:tc>
          <w:tcPr>
            <w:tcW w:w="3940" w:type="dxa"/>
            <w:vAlign w:val="bottom"/>
          </w:tcPr>
          <w:p>
            <w:pPr>
              <w:jc w:val="center"/>
              <w:ind w:left="424"/>
              <w:spacing w:after="0"/>
              <w:rPr>
                <w:sz w:val="20"/>
                <w:szCs w:val="20"/>
                <w:color w:val="auto"/>
              </w:rPr>
            </w:pPr>
            <w:r>
              <w:rPr>
                <w:rFonts w:ascii="Times New Roman" w:cs="Times New Roman" w:eastAsia="Times New Roman" w:hAnsi="Times New Roman"/>
                <w:sz w:val="10"/>
                <w:szCs w:val="10"/>
                <w:b w:val="1"/>
                <w:bCs w:val="1"/>
                <w:color w:val="auto"/>
                <w:w w:val="94"/>
              </w:rPr>
              <w:t>(Address and telephone number of Registrant’s principal executive offices)</w:t>
            </w:r>
          </w:p>
        </w:tc>
      </w:tr>
      <w:tr>
        <w:trPr>
          <w:trHeight w:val="184"/>
        </w:trPr>
        <w:tc>
          <w:tcPr>
            <w:tcW w:w="3520" w:type="dxa"/>
            <w:vAlign w:val="bottom"/>
          </w:tcPr>
          <w:p>
            <w:pPr>
              <w:jc w:val="center"/>
              <w:ind w:right="423"/>
              <w:spacing w:after="0"/>
              <w:rPr>
                <w:sz w:val="20"/>
                <w:szCs w:val="20"/>
                <w:color w:val="auto"/>
              </w:rPr>
            </w:pPr>
            <w:r>
              <w:rPr>
                <w:rFonts w:ascii="Times New Roman" w:cs="Times New Roman" w:eastAsia="Times New Roman" w:hAnsi="Times New Roman"/>
                <w:sz w:val="12"/>
                <w:szCs w:val="12"/>
                <w:b w:val="1"/>
                <w:bCs w:val="1"/>
                <w:color w:val="auto"/>
              </w:rPr>
              <w:t>Mr. Donald J. Puglisi</w:t>
            </w:r>
          </w:p>
        </w:tc>
        <w:tc>
          <w:tcPr>
            <w:tcW w:w="3940" w:type="dxa"/>
            <w:vAlign w:val="bottom"/>
          </w:tcPr>
          <w:p>
            <w:pPr>
              <w:jc w:val="center"/>
              <w:ind w:left="424"/>
              <w:spacing w:after="0"/>
              <w:rPr>
                <w:sz w:val="20"/>
                <w:szCs w:val="20"/>
                <w:color w:val="auto"/>
              </w:rPr>
            </w:pPr>
            <w:r>
              <w:rPr>
                <w:rFonts w:ascii="Times New Roman" w:cs="Times New Roman" w:eastAsia="Times New Roman" w:hAnsi="Times New Roman"/>
                <w:sz w:val="12"/>
                <w:szCs w:val="12"/>
                <w:b w:val="1"/>
                <w:bCs w:val="1"/>
                <w:color w:val="auto"/>
              </w:rPr>
              <w:t>The Corporation Trust Company</w:t>
            </w:r>
          </w:p>
        </w:tc>
      </w:tr>
      <w:tr>
        <w:trPr>
          <w:trHeight w:val="153"/>
        </w:trPr>
        <w:tc>
          <w:tcPr>
            <w:tcW w:w="3520" w:type="dxa"/>
            <w:vAlign w:val="bottom"/>
          </w:tcPr>
          <w:p>
            <w:pPr>
              <w:jc w:val="center"/>
              <w:ind w:right="423"/>
              <w:spacing w:after="0"/>
              <w:rPr>
                <w:sz w:val="20"/>
                <w:szCs w:val="20"/>
                <w:color w:val="auto"/>
              </w:rPr>
            </w:pPr>
            <w:r>
              <w:rPr>
                <w:rFonts w:ascii="Times New Roman" w:cs="Times New Roman" w:eastAsia="Times New Roman" w:hAnsi="Times New Roman"/>
                <w:sz w:val="12"/>
                <w:szCs w:val="12"/>
                <w:b w:val="1"/>
                <w:bCs w:val="1"/>
                <w:color w:val="auto"/>
              </w:rPr>
              <w:t>Managing Director</w:t>
            </w:r>
          </w:p>
        </w:tc>
        <w:tc>
          <w:tcPr>
            <w:tcW w:w="3940" w:type="dxa"/>
            <w:vAlign w:val="bottom"/>
          </w:tcPr>
          <w:p>
            <w:pPr>
              <w:jc w:val="center"/>
              <w:ind w:left="404"/>
              <w:spacing w:after="0"/>
              <w:rPr>
                <w:sz w:val="20"/>
                <w:szCs w:val="20"/>
                <w:color w:val="auto"/>
              </w:rPr>
            </w:pPr>
            <w:r>
              <w:rPr>
                <w:rFonts w:ascii="Times New Roman" w:cs="Times New Roman" w:eastAsia="Times New Roman" w:hAnsi="Times New Roman"/>
                <w:sz w:val="12"/>
                <w:szCs w:val="12"/>
                <w:b w:val="1"/>
                <w:bCs w:val="1"/>
                <w:color w:val="auto"/>
              </w:rPr>
              <w:t>Corporation Trust Center</w:t>
            </w:r>
          </w:p>
        </w:tc>
      </w:tr>
      <w:tr>
        <w:trPr>
          <w:trHeight w:val="153"/>
        </w:trPr>
        <w:tc>
          <w:tcPr>
            <w:tcW w:w="3520" w:type="dxa"/>
            <w:vAlign w:val="bottom"/>
          </w:tcPr>
          <w:p>
            <w:pPr>
              <w:jc w:val="center"/>
              <w:ind w:right="403"/>
              <w:spacing w:after="0"/>
              <w:rPr>
                <w:sz w:val="20"/>
                <w:szCs w:val="20"/>
                <w:color w:val="auto"/>
              </w:rPr>
            </w:pPr>
            <w:r>
              <w:rPr>
                <w:rFonts w:ascii="Times New Roman" w:cs="Times New Roman" w:eastAsia="Times New Roman" w:hAnsi="Times New Roman"/>
                <w:sz w:val="12"/>
                <w:szCs w:val="12"/>
                <w:b w:val="1"/>
                <w:bCs w:val="1"/>
                <w:color w:val="auto"/>
              </w:rPr>
              <w:t>Puglisi &amp; Associates</w:t>
            </w:r>
          </w:p>
        </w:tc>
        <w:tc>
          <w:tcPr>
            <w:tcW w:w="3940" w:type="dxa"/>
            <w:vAlign w:val="bottom"/>
          </w:tcPr>
          <w:p>
            <w:pPr>
              <w:jc w:val="center"/>
              <w:ind w:left="424"/>
              <w:spacing w:after="0"/>
              <w:rPr>
                <w:sz w:val="20"/>
                <w:szCs w:val="20"/>
                <w:color w:val="auto"/>
              </w:rPr>
            </w:pPr>
            <w:r>
              <w:rPr>
                <w:rFonts w:ascii="Times New Roman" w:cs="Times New Roman" w:eastAsia="Times New Roman" w:hAnsi="Times New Roman"/>
                <w:sz w:val="12"/>
                <w:szCs w:val="12"/>
                <w:b w:val="1"/>
                <w:bCs w:val="1"/>
                <w:color w:val="auto"/>
              </w:rPr>
              <w:t>1209 Orange Street</w:t>
            </w:r>
          </w:p>
        </w:tc>
      </w:tr>
      <w:tr>
        <w:trPr>
          <w:trHeight w:val="153"/>
        </w:trPr>
        <w:tc>
          <w:tcPr>
            <w:tcW w:w="3520" w:type="dxa"/>
            <w:vAlign w:val="bottom"/>
          </w:tcPr>
          <w:p>
            <w:pPr>
              <w:jc w:val="center"/>
              <w:ind w:right="403"/>
              <w:spacing w:after="0"/>
              <w:rPr>
                <w:sz w:val="20"/>
                <w:szCs w:val="20"/>
                <w:color w:val="auto"/>
              </w:rPr>
            </w:pPr>
            <w:r>
              <w:rPr>
                <w:rFonts w:ascii="Times New Roman" w:cs="Times New Roman" w:eastAsia="Times New Roman" w:hAnsi="Times New Roman"/>
                <w:sz w:val="12"/>
                <w:szCs w:val="12"/>
                <w:b w:val="1"/>
                <w:bCs w:val="1"/>
                <w:color w:val="auto"/>
              </w:rPr>
              <w:t>850 Library Avenue, Suite 204</w:t>
            </w:r>
          </w:p>
        </w:tc>
        <w:tc>
          <w:tcPr>
            <w:tcW w:w="3940" w:type="dxa"/>
            <w:vAlign w:val="bottom"/>
          </w:tcPr>
          <w:p>
            <w:pPr>
              <w:jc w:val="center"/>
              <w:ind w:left="404"/>
              <w:spacing w:after="0"/>
              <w:rPr>
                <w:sz w:val="20"/>
                <w:szCs w:val="20"/>
                <w:color w:val="auto"/>
              </w:rPr>
            </w:pPr>
            <w:r>
              <w:rPr>
                <w:rFonts w:ascii="Times New Roman" w:cs="Times New Roman" w:eastAsia="Times New Roman" w:hAnsi="Times New Roman"/>
                <w:sz w:val="12"/>
                <w:szCs w:val="12"/>
                <w:b w:val="1"/>
                <w:bCs w:val="1"/>
                <w:color w:val="auto"/>
              </w:rPr>
              <w:t>Wilmington, Delaware 19801</w:t>
            </w:r>
          </w:p>
        </w:tc>
      </w:tr>
      <w:tr>
        <w:trPr>
          <w:trHeight w:val="153"/>
        </w:trPr>
        <w:tc>
          <w:tcPr>
            <w:tcW w:w="3520" w:type="dxa"/>
            <w:vAlign w:val="bottom"/>
          </w:tcPr>
          <w:p>
            <w:pPr>
              <w:jc w:val="center"/>
              <w:ind w:right="403"/>
              <w:spacing w:after="0"/>
              <w:rPr>
                <w:sz w:val="20"/>
                <w:szCs w:val="20"/>
                <w:color w:val="auto"/>
              </w:rPr>
            </w:pPr>
            <w:r>
              <w:rPr>
                <w:rFonts w:ascii="Times New Roman" w:cs="Times New Roman" w:eastAsia="Times New Roman" w:hAnsi="Times New Roman"/>
                <w:sz w:val="12"/>
                <w:szCs w:val="12"/>
                <w:b w:val="1"/>
                <w:bCs w:val="1"/>
                <w:color w:val="auto"/>
              </w:rPr>
              <w:t>Newark, Delaware 19711</w:t>
            </w:r>
          </w:p>
        </w:tc>
        <w:tc>
          <w:tcPr>
            <w:tcW w:w="3940" w:type="dxa"/>
            <w:vAlign w:val="bottom"/>
          </w:tcPr>
          <w:p>
            <w:pPr>
              <w:jc w:val="center"/>
              <w:ind w:left="404"/>
              <w:spacing w:after="0"/>
              <w:rPr>
                <w:sz w:val="20"/>
                <w:szCs w:val="20"/>
                <w:color w:val="auto"/>
              </w:rPr>
            </w:pPr>
            <w:r>
              <w:rPr>
                <w:rFonts w:ascii="Times New Roman" w:cs="Times New Roman" w:eastAsia="Times New Roman" w:hAnsi="Times New Roman"/>
                <w:sz w:val="12"/>
                <w:szCs w:val="12"/>
                <w:b w:val="1"/>
                <w:bCs w:val="1"/>
                <w:color w:val="auto"/>
              </w:rPr>
              <w:t>1-302-658-7581</w:t>
            </w:r>
          </w:p>
        </w:tc>
      </w:tr>
      <w:tr>
        <w:trPr>
          <w:trHeight w:val="161"/>
        </w:trPr>
        <w:tc>
          <w:tcPr>
            <w:tcW w:w="3520" w:type="dxa"/>
            <w:vAlign w:val="bottom"/>
          </w:tcPr>
          <w:p>
            <w:pPr>
              <w:jc w:val="center"/>
              <w:ind w:right="423"/>
              <w:spacing w:after="0"/>
              <w:rPr>
                <w:sz w:val="20"/>
                <w:szCs w:val="20"/>
                <w:color w:val="auto"/>
              </w:rPr>
            </w:pPr>
            <w:r>
              <w:rPr>
                <w:rFonts w:ascii="Times New Roman" w:cs="Times New Roman" w:eastAsia="Times New Roman" w:hAnsi="Times New Roman"/>
                <w:sz w:val="12"/>
                <w:szCs w:val="12"/>
                <w:b w:val="1"/>
                <w:bCs w:val="1"/>
                <w:color w:val="auto"/>
              </w:rPr>
              <w:t>1-302-738-6680</w:t>
            </w:r>
          </w:p>
        </w:tc>
        <w:tc>
          <w:tcPr>
            <w:tcW w:w="3940" w:type="dxa"/>
            <w:vAlign w:val="bottom"/>
          </w:tcPr>
          <w:p>
            <w:pPr>
              <w:spacing w:after="0"/>
              <w:rPr>
                <w:sz w:val="13"/>
                <w:szCs w:val="13"/>
                <w:color w:val="auto"/>
              </w:rPr>
            </w:pPr>
          </w:p>
        </w:tc>
      </w:tr>
      <w:tr>
        <w:trPr>
          <w:trHeight w:val="125"/>
        </w:trPr>
        <w:tc>
          <w:tcPr>
            <w:tcW w:w="3520" w:type="dxa"/>
            <w:vAlign w:val="bottom"/>
          </w:tcPr>
          <w:p>
            <w:pPr>
              <w:jc w:val="center"/>
              <w:ind w:right="403"/>
              <w:spacing w:after="0"/>
              <w:rPr>
                <w:sz w:val="20"/>
                <w:szCs w:val="20"/>
                <w:color w:val="auto"/>
              </w:rPr>
            </w:pPr>
            <w:r>
              <w:rPr>
                <w:rFonts w:ascii="Times New Roman" w:cs="Times New Roman" w:eastAsia="Times New Roman" w:hAnsi="Times New Roman"/>
                <w:sz w:val="10"/>
                <w:szCs w:val="10"/>
                <w:b w:val="1"/>
                <w:bCs w:val="1"/>
                <w:color w:val="auto"/>
                <w:w w:val="95"/>
              </w:rPr>
              <w:t>(Name, address, and telephone number of agent for service for Shell plc)</w:t>
            </w:r>
          </w:p>
        </w:tc>
        <w:tc>
          <w:tcPr>
            <w:tcW w:w="3940" w:type="dxa"/>
            <w:vAlign w:val="bottom"/>
          </w:tcPr>
          <w:p>
            <w:pPr>
              <w:jc w:val="center"/>
              <w:ind w:left="424"/>
              <w:spacing w:after="0"/>
              <w:rPr>
                <w:sz w:val="20"/>
                <w:szCs w:val="20"/>
                <w:color w:val="auto"/>
              </w:rPr>
            </w:pPr>
            <w:r>
              <w:rPr>
                <w:rFonts w:ascii="Times New Roman" w:cs="Times New Roman" w:eastAsia="Times New Roman" w:hAnsi="Times New Roman"/>
                <w:sz w:val="10"/>
                <w:szCs w:val="10"/>
                <w:b w:val="1"/>
                <w:bCs w:val="1"/>
                <w:color w:val="auto"/>
                <w:w w:val="95"/>
              </w:rPr>
              <w:t>(Name, address, and telephone number of agent for service for Shell Finance US Inc.)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3027045</wp:posOffset>
            </wp:positionH>
            <wp:positionV relativeFrom="paragraph">
              <wp:posOffset>85725</wp:posOffset>
            </wp:positionV>
            <wp:extent cx="111442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4425" cy="6350"/>
                    </a:xfrm>
                    <a:prstGeom prst="rect">
                      <a:avLst/>
                    </a:prstGeom>
                    <a:noFill/>
                  </pic:spPr>
                </pic:pic>
              </a:graphicData>
            </a:graphic>
          </wp:anchor>
        </w:drawing>
      </w:r>
    </w:p>
    <w:p>
      <w:pPr>
        <w:spacing w:after="0" w:line="1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i w:val="1"/>
          <w:iCs w:val="1"/>
          <w:color w:val="auto"/>
        </w:rPr>
        <w:t>Copy to:</w:t>
      </w:r>
    </w:p>
    <w:p>
      <w:pPr>
        <w:spacing w:after="0" w:line="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Andrew J. Pitts, Esq.</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Cravath, Swaine &amp; Moore LLP</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Two Manhattan West</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375 Ninth Avenue</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New York, NY 10001</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+1 (212) 474-1000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3027045</wp:posOffset>
            </wp:positionH>
            <wp:positionV relativeFrom="paragraph">
              <wp:posOffset>103505</wp:posOffset>
            </wp:positionV>
            <wp:extent cx="111442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4425" cy="6350"/>
                    </a:xfrm>
                    <a:prstGeom prst="rect">
                      <a:avLst/>
                    </a:prstGeom>
                    <a:noFill/>
                  </pic:spPr>
                </pic:pic>
              </a:graphicData>
            </a:graphic>
          </wp:anchor>
        </w:drawing>
      </w:r>
    </w:p>
    <w:p>
      <w:pPr>
        <w:spacing w:after="0" w:line="189"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0"/>
          <w:szCs w:val="10"/>
          <w:b w:val="1"/>
          <w:bCs w:val="1"/>
          <w:color w:val="auto"/>
        </w:rPr>
        <w:t>Approximate date of commencement of proposed sale to the public</w:t>
      </w:r>
      <w:r>
        <w:rPr>
          <w:rFonts w:ascii="Times New Roman" w:cs="Times New Roman" w:eastAsia="Times New Roman" w:hAnsi="Times New Roman"/>
          <w:sz w:val="10"/>
          <w:szCs w:val="10"/>
          <w:color w:val="auto"/>
        </w:rPr>
        <w:t>: Upon the consummation of the exchange offers described herein.</w:t>
      </w:r>
    </w:p>
    <w:p>
      <w:pPr>
        <w:spacing w:after="0" w:line="50" w:lineRule="exact"/>
        <w:rPr>
          <w:sz w:val="24"/>
          <w:szCs w:val="24"/>
          <w:color w:val="auto"/>
        </w:rPr>
      </w:pPr>
    </w:p>
    <w:p>
      <w:pPr>
        <w:ind w:left="1480" w:right="599"/>
        <w:spacing w:after="0" w:line="125" w:lineRule="exact"/>
        <w:rPr>
          <w:sz w:val="20"/>
          <w:szCs w:val="20"/>
          <w:color w:val="auto"/>
        </w:rPr>
      </w:pPr>
      <w:r>
        <w:rPr>
          <w:rFonts w:ascii="Times New Roman" w:cs="Times New Roman" w:eastAsia="Times New Roman" w:hAnsi="Times New Roman"/>
          <w:sz w:val="10"/>
          <w:szCs w:val="10"/>
          <w:color w:val="auto"/>
        </w:rPr>
        <w:t xml:space="preserve">If this Form is filed to register additional securities for an offering pursuant to Rule 462(b)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17" w:lineRule="exact"/>
        <w:rPr>
          <w:sz w:val="24"/>
          <w:szCs w:val="24"/>
          <w:color w:val="auto"/>
        </w:rPr>
      </w:pPr>
    </w:p>
    <w:p>
      <w:pPr>
        <w:ind w:left="1480" w:right="679"/>
        <w:spacing w:after="0" w:line="125" w:lineRule="exact"/>
        <w:rPr>
          <w:sz w:val="20"/>
          <w:szCs w:val="20"/>
          <w:color w:val="auto"/>
        </w:rPr>
      </w:pPr>
      <w:r>
        <w:rPr>
          <w:rFonts w:ascii="Times New Roman" w:cs="Times New Roman" w:eastAsia="Times New Roman" w:hAnsi="Times New Roman"/>
          <w:sz w:val="10"/>
          <w:szCs w:val="10"/>
          <w:color w:val="auto"/>
        </w:rPr>
        <w:t xml:space="preserve">If this Form is a post-effective amendment filed pursuant to Rule 462(d)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17"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0"/>
          <w:szCs w:val="10"/>
          <w:color w:val="auto"/>
        </w:rPr>
        <w:t>If applicable, place an X in the box to designate the appropriate rule provision relied upon in conducting this transaction:</w:t>
      </w:r>
    </w:p>
    <w:p>
      <w:pPr>
        <w:spacing w:after="0" w:line="37" w:lineRule="exact"/>
        <w:rPr>
          <w:sz w:val="24"/>
          <w:szCs w:val="24"/>
          <w:color w:val="auto"/>
        </w:rPr>
      </w:pPr>
    </w:p>
    <w:p>
      <w:pPr>
        <w:ind w:left="1480"/>
        <w:spacing w:after="0" w:line="115" w:lineRule="exact"/>
        <w:rPr>
          <w:sz w:val="20"/>
          <w:szCs w:val="20"/>
          <w:color w:val="auto"/>
        </w:rPr>
      </w:pPr>
      <w:r>
        <w:rPr>
          <w:rFonts w:ascii="Times New Roman" w:cs="Times New Roman" w:eastAsia="Times New Roman" w:hAnsi="Times New Roman"/>
          <w:sz w:val="10"/>
          <w:szCs w:val="10"/>
          <w:color w:val="auto"/>
        </w:rPr>
        <w:t xml:space="preserve">Exchange Act Rule 13(e)-4(i) (Cross-Border Issuer Tender Offer)  </w:t>
      </w:r>
      <w:r>
        <w:rPr>
          <w:rFonts w:ascii="MS PGothic" w:cs="MS PGothic" w:eastAsia="MS PGothic" w:hAnsi="MS PGothic"/>
          <w:sz w:val="10"/>
          <w:szCs w:val="10"/>
          <w:color w:val="auto"/>
        </w:rPr>
        <w:t>☐</w:t>
      </w:r>
    </w:p>
    <w:p>
      <w:pPr>
        <w:spacing w:after="0" w:line="48" w:lineRule="exact"/>
        <w:rPr>
          <w:sz w:val="24"/>
          <w:szCs w:val="24"/>
          <w:color w:val="auto"/>
        </w:rPr>
      </w:pPr>
    </w:p>
    <w:p>
      <w:pPr>
        <w:ind w:left="1480"/>
        <w:spacing w:after="0" w:line="115" w:lineRule="exact"/>
        <w:rPr>
          <w:sz w:val="20"/>
          <w:szCs w:val="20"/>
          <w:color w:val="auto"/>
        </w:rPr>
      </w:pPr>
      <w:r>
        <w:rPr>
          <w:rFonts w:ascii="Times New Roman" w:cs="Times New Roman" w:eastAsia="Times New Roman" w:hAnsi="Times New Roman"/>
          <w:sz w:val="10"/>
          <w:szCs w:val="10"/>
          <w:color w:val="auto"/>
        </w:rPr>
        <w:t xml:space="preserve">Exchange Act Rule 14d-1(d) (Cross-Border Third-Party Tender Offer)  </w:t>
      </w:r>
      <w:r>
        <w:rPr>
          <w:rFonts w:ascii="MS PGothic" w:cs="MS PGothic" w:eastAsia="MS PGothic" w:hAnsi="MS PGothic"/>
          <w:sz w:val="10"/>
          <w:szCs w:val="10"/>
          <w:color w:val="auto"/>
        </w:rPr>
        <w:t>☐</w:t>
      </w:r>
    </w:p>
    <w:p>
      <w:pPr>
        <w:spacing w:after="0" w:line="60"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0"/>
          <w:szCs w:val="10"/>
          <w:color w:val="auto"/>
        </w:rPr>
        <w:t>Indicate by check mark whether the registrant is an emerging growth company as defined in Rule 405 of the Securities Act of 1933.</w:t>
      </w:r>
    </w:p>
    <w:p>
      <w:pPr>
        <w:spacing w:after="0" w:line="37" w:lineRule="exact"/>
        <w:rPr>
          <w:sz w:val="24"/>
          <w:szCs w:val="24"/>
          <w:color w:val="auto"/>
        </w:rPr>
      </w:pPr>
    </w:p>
    <w:p>
      <w:pPr>
        <w:ind w:left="1480"/>
        <w:spacing w:after="0" w:line="115" w:lineRule="exact"/>
        <w:rPr>
          <w:sz w:val="20"/>
          <w:szCs w:val="20"/>
          <w:color w:val="auto"/>
        </w:rPr>
      </w:pPr>
      <w:r>
        <w:rPr>
          <w:rFonts w:ascii="Times New Roman" w:cs="Times New Roman" w:eastAsia="Times New Roman" w:hAnsi="Times New Roman"/>
          <w:sz w:val="10"/>
          <w:szCs w:val="10"/>
          <w:color w:val="auto"/>
        </w:rPr>
        <w:t xml:space="preserve">Emerging growth company  </w:t>
      </w:r>
      <w:r>
        <w:rPr>
          <w:rFonts w:ascii="MS PGothic" w:cs="MS PGothic" w:eastAsia="MS PGothic" w:hAnsi="MS PGothic"/>
          <w:sz w:val="10"/>
          <w:szCs w:val="10"/>
          <w:color w:val="auto"/>
        </w:rPr>
        <w:t>☐</w:t>
      </w:r>
    </w:p>
    <w:p>
      <w:pPr>
        <w:spacing w:after="0" w:line="60" w:lineRule="exact"/>
        <w:rPr>
          <w:sz w:val="24"/>
          <w:szCs w:val="24"/>
          <w:color w:val="auto"/>
        </w:rPr>
      </w:pPr>
    </w:p>
    <w:p>
      <w:pPr>
        <w:ind w:left="1480" w:right="379"/>
        <w:spacing w:after="0" w:line="125" w:lineRule="exact"/>
        <w:rPr>
          <w:sz w:val="20"/>
          <w:szCs w:val="20"/>
          <w:color w:val="auto"/>
        </w:rPr>
      </w:pPr>
      <w:r>
        <w:rPr>
          <w:rFonts w:ascii="Times New Roman" w:cs="Times New Roman" w:eastAsia="Times New Roman" w:hAnsi="Times New Roman"/>
          <w:sz w:val="10"/>
          <w:szCs w:val="10"/>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0"/>
          <w:szCs w:val="10"/>
          <w:color w:val="auto"/>
        </w:rPr>
        <w:t>☐</w:t>
      </w:r>
    </w:p>
    <w:p>
      <w:pPr>
        <w:spacing w:after="0" w:line="27" w:lineRule="exact"/>
        <w:rPr>
          <w:sz w:val="24"/>
          <w:szCs w:val="24"/>
          <w:color w:val="auto"/>
        </w:rPr>
      </w:pPr>
    </w:p>
    <w:p>
      <w:pPr>
        <w:ind w:left="1640" w:hanging="159"/>
        <w:spacing w:after="0"/>
        <w:tabs>
          <w:tab w:leader="none" w:pos="1640" w:val="left"/>
        </w:tabs>
        <w:numPr>
          <w:ilvl w:val="0"/>
          <w:numId w:val="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3027045</wp:posOffset>
            </wp:positionH>
            <wp:positionV relativeFrom="paragraph">
              <wp:posOffset>110490</wp:posOffset>
            </wp:positionV>
            <wp:extent cx="11144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4425" cy="6350"/>
                    </a:xfrm>
                    <a:prstGeom prst="rect">
                      <a:avLst/>
                    </a:prstGeom>
                    <a:noFill/>
                  </pic:spPr>
                </pic:pic>
              </a:graphicData>
            </a:graphic>
          </wp:anchor>
        </w:drawing>
      </w:r>
    </w:p>
    <w:p>
      <w:pPr>
        <w:spacing w:after="0" w:line="230" w:lineRule="exact"/>
        <w:rPr>
          <w:sz w:val="24"/>
          <w:szCs w:val="24"/>
          <w:color w:val="auto"/>
        </w:rPr>
      </w:pPr>
    </w:p>
    <w:p>
      <w:pPr>
        <w:ind w:left="1480" w:right="359"/>
        <w:spacing w:after="0" w:line="228" w:lineRule="auto"/>
        <w:rPr>
          <w:sz w:val="20"/>
          <w:szCs w:val="20"/>
          <w:color w:val="auto"/>
        </w:rPr>
      </w:pPr>
      <w:r>
        <w:rPr>
          <w:rFonts w:ascii="Times New Roman" w:cs="Times New Roman" w:eastAsia="Times New Roman" w:hAnsi="Times New Roman"/>
          <w:sz w:val="10"/>
          <w:szCs w:val="10"/>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the registration statement shall become effective on such date as the SEC,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940435</wp:posOffset>
            </wp:positionH>
            <wp:positionV relativeFrom="paragraph">
              <wp:posOffset>41275</wp:posOffset>
            </wp:positionV>
            <wp:extent cx="528701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7010" cy="6350"/>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73660</wp:posOffset>
            </wp:positionV>
            <wp:extent cx="528701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7010" cy="6350"/>
                    </a:xfrm>
                    <a:prstGeom prst="rect">
                      <a:avLst/>
                    </a:prstGeom>
                    <a:noFill/>
                  </pic:spPr>
                </pic:pic>
              </a:graphicData>
            </a:graphic>
          </wp:anchor>
        </w:drawing>
      </w:r>
    </w:p>
    <w:p>
      <w:pPr>
        <w:sectPr>
          <w:pgSz w:w="11900" w:h="16838" w:orient="portrait"/>
          <w:cols w:equalWidth="0" w:num="1">
            <w:col w:w="10159"/>
          </w:cols>
          <w:pgMar w:left="300" w:top="204"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9" w:lineRule="exact"/>
        <w:rPr>
          <w:sz w:val="20"/>
          <w:szCs w:val="20"/>
          <w:color w:val="auto"/>
        </w:rPr>
      </w:pPr>
    </w:p>
    <w:p>
      <w:pPr>
        <w:ind w:left="1480" w:right="419"/>
        <w:spacing w:after="0" w:line="247" w:lineRule="auto"/>
        <w:rPr>
          <w:sz w:val="20"/>
          <w:szCs w:val="20"/>
          <w:color w:val="auto"/>
        </w:rPr>
      </w:pPr>
      <w:r>
        <w:rPr>
          <w:rFonts w:ascii="Arial" w:cs="Arial" w:eastAsia="Arial" w:hAnsi="Arial"/>
          <w:sz w:val="14"/>
          <w:szCs w:val="14"/>
          <w:b w:val="1"/>
          <w:bCs w:val="1"/>
          <w:color w:val="FF4338"/>
        </w:rPr>
        <w:t>The information in this prospectus may change. We may not issue these securities until the registration statement filed with the U.S. Securities and Exchange Commission is effective. This prospectus is not an offer to sell these securities and it is not soliciting an offer to buy these securities in any state where the offer is not permitted.</w:t>
      </w:r>
    </w:p>
    <w:p>
      <w:pPr>
        <w:spacing w:after="0" w:line="7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FF4338"/>
        </w:rPr>
        <w:t>SUBJECT TO COMPLETION DATED MAY 22, 2026</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4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33"/>
          <w:szCs w:val="33"/>
          <w:b w:val="1"/>
          <w:bCs w:val="1"/>
          <w:color w:val="auto"/>
        </w:rPr>
        <w:t>SHELL FINANCE US INC.</w:t>
      </w:r>
    </w:p>
    <w:p>
      <w:pPr>
        <w:spacing w:after="0" w:line="18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Offer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180340</wp:posOffset>
            </wp:positionV>
            <wp:extent cx="111442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4425" cy="63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1480" w:right="419"/>
        <w:spacing w:after="0" w:line="319" w:lineRule="auto"/>
        <w:rPr>
          <w:sz w:val="20"/>
          <w:szCs w:val="20"/>
          <w:color w:val="auto"/>
        </w:rPr>
      </w:pPr>
      <w:r>
        <w:rPr>
          <w:rFonts w:ascii="Times New Roman" w:cs="Times New Roman" w:eastAsia="Times New Roman" w:hAnsi="Times New Roman"/>
          <w:sz w:val="12"/>
          <w:szCs w:val="12"/>
          <w:color w:val="auto"/>
        </w:rPr>
        <w:t>This is an offer by Shell Finance US Inc. (“</w:t>
      </w:r>
      <w:r>
        <w:rPr>
          <w:rFonts w:ascii="Times New Roman" w:cs="Times New Roman" w:eastAsia="Times New Roman" w:hAnsi="Times New Roman"/>
          <w:sz w:val="12"/>
          <w:szCs w:val="12"/>
          <w:b w:val="1"/>
          <w:bCs w:val="1"/>
          <w:color w:val="auto"/>
        </w:rPr>
        <w:t>Shell Finance US</w:t>
      </w:r>
      <w:r>
        <w:rPr>
          <w:rFonts w:ascii="Times New Roman" w:cs="Times New Roman" w:eastAsia="Times New Roman" w:hAnsi="Times New Roman"/>
          <w:sz w:val="12"/>
          <w:szCs w:val="12"/>
          <w:color w:val="auto"/>
        </w:rPr>
        <w:t>”) to exchange any validly tendered (and not validly withdrawn) and accepted notes of the following series of outstanding unregistered notes issued by Shell Finance US and fully and unconditionally guaranteed by Shell plc (“</w:t>
      </w:r>
      <w:r>
        <w:rPr>
          <w:rFonts w:ascii="Times New Roman" w:cs="Times New Roman" w:eastAsia="Times New Roman" w:hAnsi="Times New Roman"/>
          <w:sz w:val="12"/>
          <w:szCs w:val="12"/>
          <w:b w:val="1"/>
          <w:bCs w:val="1"/>
          <w:color w:val="auto"/>
        </w:rPr>
        <w:t>Shell</w:t>
      </w:r>
      <w:r>
        <w:rPr>
          <w:rFonts w:ascii="Times New Roman" w:cs="Times New Roman" w:eastAsia="Times New Roman" w:hAnsi="Times New Roman"/>
          <w:sz w:val="12"/>
          <w:szCs w:val="12"/>
          <w:color w:val="auto"/>
        </w:rPr>
        <w:t>”) for a like amount of new registered notes issued by Shell Finance US and fully and unconditionally guaranteed by Shell plc, as described below:</w:t>
      </w:r>
    </w:p>
    <w:p>
      <w:pPr>
        <w:spacing w:after="0" w:line="127" w:lineRule="exact"/>
        <w:rPr>
          <w:sz w:val="20"/>
          <w:szCs w:val="20"/>
          <w:color w:val="auto"/>
        </w:rPr>
      </w:pPr>
    </w:p>
    <w:p>
      <w:pPr>
        <w:ind w:left="2220" w:right="399" w:hanging="412"/>
        <w:spacing w:after="0" w:line="253"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$920,732,000 3.875% Guaranteed Notes due 2028 (CUSIP U8209LAA0, ISIN USU8209LAA09 / CUSIP 822905AR6, ISIN US822905AR69) (“</w:t>
      </w:r>
      <w:r>
        <w:rPr>
          <w:rFonts w:ascii="Times New Roman" w:cs="Times New Roman" w:eastAsia="Times New Roman" w:hAnsi="Times New Roman"/>
          <w:sz w:val="14"/>
          <w:szCs w:val="14"/>
          <w:b w:val="1"/>
          <w:bCs w:val="1"/>
          <w:color w:val="auto"/>
        </w:rPr>
        <w:t>Restricted 3.875% 2028 Notes</w:t>
      </w:r>
      <w:r>
        <w:rPr>
          <w:rFonts w:ascii="Times New Roman" w:cs="Times New Roman" w:eastAsia="Times New Roman" w:hAnsi="Times New Roman"/>
          <w:sz w:val="14"/>
          <w:szCs w:val="14"/>
          <w:color w:val="auto"/>
        </w:rPr>
        <w:t>”) for a like principal amount of 3.875% Guaranteed Notes due 2028, which have been registered under the Securities Act of 1933, as amended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Exchange 3.875% 2028 Notes</w:t>
      </w:r>
      <w:r>
        <w:rPr>
          <w:rFonts w:ascii="Times New Roman" w:cs="Times New Roman" w:eastAsia="Times New Roman" w:hAnsi="Times New Roman"/>
          <w:sz w:val="14"/>
          <w:szCs w:val="14"/>
          <w:color w:val="auto"/>
        </w:rPr>
        <w:t>”);</w:t>
      </w:r>
    </w:p>
    <w:p>
      <w:pPr>
        <w:spacing w:after="0" w:line="164" w:lineRule="exact"/>
        <w:rPr>
          <w:rFonts w:ascii="Times New Roman" w:cs="Times New Roman" w:eastAsia="Times New Roman" w:hAnsi="Times New Roman"/>
          <w:sz w:val="14"/>
          <w:szCs w:val="14"/>
          <w:color w:val="auto"/>
        </w:rPr>
      </w:pPr>
    </w:p>
    <w:p>
      <w:pPr>
        <w:ind w:left="2220" w:right="419" w:hanging="412"/>
        <w:spacing w:after="0" w:line="253"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$2,063,148,000 6.375% Guaranteed Notes due 2038 (CUSIP U8209LAB8, ISIN USU8209LAB81 / CUSIP 822905AT2, ISIN US822905AT26) (“</w:t>
      </w:r>
      <w:r>
        <w:rPr>
          <w:rFonts w:ascii="Times New Roman" w:cs="Times New Roman" w:eastAsia="Times New Roman" w:hAnsi="Times New Roman"/>
          <w:sz w:val="14"/>
          <w:szCs w:val="14"/>
          <w:b w:val="1"/>
          <w:bCs w:val="1"/>
          <w:color w:val="auto"/>
        </w:rPr>
        <w:t>Restricted 6.375% 2038 Notes</w:t>
      </w:r>
      <w:r>
        <w:rPr>
          <w:rFonts w:ascii="Times New Roman" w:cs="Times New Roman" w:eastAsia="Times New Roman" w:hAnsi="Times New Roman"/>
          <w:sz w:val="14"/>
          <w:szCs w:val="14"/>
          <w:color w:val="auto"/>
        </w:rPr>
        <w:t>”) for a like principal amount of 6.375% Guaranteed Notes due 2038, which have been registered under the Securities Act (“</w:t>
      </w:r>
      <w:r>
        <w:rPr>
          <w:rFonts w:ascii="Times New Roman" w:cs="Times New Roman" w:eastAsia="Times New Roman" w:hAnsi="Times New Roman"/>
          <w:sz w:val="14"/>
          <w:szCs w:val="14"/>
          <w:b w:val="1"/>
          <w:bCs w:val="1"/>
          <w:color w:val="auto"/>
        </w:rPr>
        <w:t>Exchange 6.375% 2038 Notes</w:t>
      </w:r>
      <w:r>
        <w:rPr>
          <w:rFonts w:ascii="Times New Roman" w:cs="Times New Roman" w:eastAsia="Times New Roman" w:hAnsi="Times New Roman"/>
          <w:sz w:val="14"/>
          <w:szCs w:val="14"/>
          <w:color w:val="auto"/>
        </w:rPr>
        <w:t>”);</w:t>
      </w:r>
    </w:p>
    <w:p>
      <w:pPr>
        <w:spacing w:after="0" w:line="164" w:lineRule="exact"/>
        <w:rPr>
          <w:rFonts w:ascii="Times New Roman" w:cs="Times New Roman" w:eastAsia="Times New Roman" w:hAnsi="Times New Roman"/>
          <w:sz w:val="14"/>
          <w:szCs w:val="14"/>
          <w:color w:val="auto"/>
        </w:rPr>
      </w:pPr>
    </w:p>
    <w:p>
      <w:pPr>
        <w:ind w:left="2220" w:right="399" w:hanging="412"/>
        <w:spacing w:after="0" w:line="253"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$802,108,000 5.500% Guaranteed Notes due 2040 (CUSIP U8209LAC6, ISIN USU8209LAC64 / CUSIP 822905AV7, ISIN US822905AV71) (“</w:t>
      </w:r>
      <w:r>
        <w:rPr>
          <w:rFonts w:ascii="Times New Roman" w:cs="Times New Roman" w:eastAsia="Times New Roman" w:hAnsi="Times New Roman"/>
          <w:sz w:val="14"/>
          <w:szCs w:val="14"/>
          <w:b w:val="1"/>
          <w:bCs w:val="1"/>
          <w:color w:val="auto"/>
        </w:rPr>
        <w:t>Restricted 5.500% 2040 Notes</w:t>
      </w:r>
      <w:r>
        <w:rPr>
          <w:rFonts w:ascii="Times New Roman" w:cs="Times New Roman" w:eastAsia="Times New Roman" w:hAnsi="Times New Roman"/>
          <w:sz w:val="14"/>
          <w:szCs w:val="14"/>
          <w:color w:val="auto"/>
        </w:rPr>
        <w:t>”) for a like principal amount of 5.500% Guaranteed Notes due 2040, which have been registered under the Securities Act (“</w:t>
      </w:r>
      <w:r>
        <w:rPr>
          <w:rFonts w:ascii="Times New Roman" w:cs="Times New Roman" w:eastAsia="Times New Roman" w:hAnsi="Times New Roman"/>
          <w:sz w:val="14"/>
          <w:szCs w:val="14"/>
          <w:b w:val="1"/>
          <w:bCs w:val="1"/>
          <w:color w:val="auto"/>
        </w:rPr>
        <w:t>Exchange 5.500% 2040 Notes</w:t>
      </w:r>
      <w:r>
        <w:rPr>
          <w:rFonts w:ascii="Times New Roman" w:cs="Times New Roman" w:eastAsia="Times New Roman" w:hAnsi="Times New Roman"/>
          <w:sz w:val="14"/>
          <w:szCs w:val="14"/>
          <w:color w:val="auto"/>
        </w:rPr>
        <w:t>”);</w:t>
      </w:r>
    </w:p>
    <w:p>
      <w:pPr>
        <w:spacing w:after="0" w:line="164" w:lineRule="exact"/>
        <w:rPr>
          <w:rFonts w:ascii="Times New Roman" w:cs="Times New Roman" w:eastAsia="Times New Roman" w:hAnsi="Times New Roman"/>
          <w:sz w:val="14"/>
          <w:szCs w:val="14"/>
          <w:color w:val="auto"/>
        </w:rPr>
      </w:pPr>
    </w:p>
    <w:p>
      <w:pPr>
        <w:ind w:left="2220" w:right="379" w:hanging="412"/>
        <w:spacing w:after="0" w:line="253"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$691,199,000 5.125% Guaranteed Notes due 2041 (CUSIP U8209LAD4, ISIN USU8209LAD48 / CUSIP 822905AX3, ISIN US822905AX38) (“</w:t>
      </w:r>
      <w:r>
        <w:rPr>
          <w:rFonts w:ascii="Times New Roman" w:cs="Times New Roman" w:eastAsia="Times New Roman" w:hAnsi="Times New Roman"/>
          <w:sz w:val="14"/>
          <w:szCs w:val="14"/>
          <w:b w:val="1"/>
          <w:bCs w:val="1"/>
          <w:color w:val="auto"/>
        </w:rPr>
        <w:t>Restricted 5.125% 2041 Notes</w:t>
      </w:r>
      <w:r>
        <w:rPr>
          <w:rFonts w:ascii="Times New Roman" w:cs="Times New Roman" w:eastAsia="Times New Roman" w:hAnsi="Times New Roman"/>
          <w:sz w:val="14"/>
          <w:szCs w:val="14"/>
          <w:color w:val="auto"/>
        </w:rPr>
        <w:t>”) for a like principal amount of 5.125% Guaranteed Notes due 2041, which have been registered under the Securities Act (“</w:t>
      </w:r>
      <w:r>
        <w:rPr>
          <w:rFonts w:ascii="Times New Roman" w:cs="Times New Roman" w:eastAsia="Times New Roman" w:hAnsi="Times New Roman"/>
          <w:sz w:val="14"/>
          <w:szCs w:val="14"/>
          <w:b w:val="1"/>
          <w:bCs w:val="1"/>
          <w:color w:val="auto"/>
        </w:rPr>
        <w:t>Exchange 5.125% 2041 Notes</w:t>
      </w:r>
      <w:r>
        <w:rPr>
          <w:rFonts w:ascii="Times New Roman" w:cs="Times New Roman" w:eastAsia="Times New Roman" w:hAnsi="Times New Roman"/>
          <w:sz w:val="14"/>
          <w:szCs w:val="14"/>
          <w:color w:val="auto"/>
        </w:rPr>
        <w:t>”);</w:t>
      </w:r>
    </w:p>
    <w:p>
      <w:pPr>
        <w:spacing w:after="0" w:line="164" w:lineRule="exact"/>
        <w:rPr>
          <w:rFonts w:ascii="Times New Roman" w:cs="Times New Roman" w:eastAsia="Times New Roman" w:hAnsi="Times New Roman"/>
          <w:sz w:val="14"/>
          <w:szCs w:val="14"/>
          <w:color w:val="auto"/>
        </w:rPr>
      </w:pPr>
    </w:p>
    <w:p>
      <w:pPr>
        <w:ind w:left="2220" w:right="399" w:hanging="412"/>
        <w:spacing w:after="0" w:line="253"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$993,714,000 3.125% Guaranteed Notes due 2049 (CUSIP U8209LAE2, ISIN USU8209LAE21 / CUSIP 822905AZ8, ISIN US822905AZ85) (“</w:t>
      </w:r>
      <w:r>
        <w:rPr>
          <w:rFonts w:ascii="Times New Roman" w:cs="Times New Roman" w:eastAsia="Times New Roman" w:hAnsi="Times New Roman"/>
          <w:sz w:val="14"/>
          <w:szCs w:val="14"/>
          <w:b w:val="1"/>
          <w:bCs w:val="1"/>
          <w:color w:val="auto"/>
        </w:rPr>
        <w:t>Restricted 3.125% 2049 Notes</w:t>
      </w:r>
      <w:r>
        <w:rPr>
          <w:rFonts w:ascii="Times New Roman" w:cs="Times New Roman" w:eastAsia="Times New Roman" w:hAnsi="Times New Roman"/>
          <w:sz w:val="14"/>
          <w:szCs w:val="14"/>
          <w:color w:val="auto"/>
        </w:rPr>
        <w:t>”) for a like principal amount of 3.125% Guaranteed Notes due 2049, which have been registered under the Securities Act (“</w:t>
      </w:r>
      <w:r>
        <w:rPr>
          <w:rFonts w:ascii="Times New Roman" w:cs="Times New Roman" w:eastAsia="Times New Roman" w:hAnsi="Times New Roman"/>
          <w:sz w:val="14"/>
          <w:szCs w:val="14"/>
          <w:b w:val="1"/>
          <w:bCs w:val="1"/>
          <w:color w:val="auto"/>
        </w:rPr>
        <w:t>Exchange 3.125% 2049 Notes</w:t>
      </w:r>
      <w:r>
        <w:rPr>
          <w:rFonts w:ascii="Times New Roman" w:cs="Times New Roman" w:eastAsia="Times New Roman" w:hAnsi="Times New Roman"/>
          <w:sz w:val="14"/>
          <w:szCs w:val="14"/>
          <w:color w:val="auto"/>
        </w:rPr>
        <w:t>”); and</w:t>
      </w:r>
    </w:p>
    <w:p>
      <w:pPr>
        <w:spacing w:after="0" w:line="164" w:lineRule="exact"/>
        <w:rPr>
          <w:rFonts w:ascii="Times New Roman" w:cs="Times New Roman" w:eastAsia="Times New Roman" w:hAnsi="Times New Roman"/>
          <w:sz w:val="14"/>
          <w:szCs w:val="14"/>
          <w:color w:val="auto"/>
        </w:rPr>
      </w:pPr>
    </w:p>
    <w:p>
      <w:pPr>
        <w:ind w:left="2220" w:right="399" w:hanging="412"/>
        <w:spacing w:after="0" w:line="253"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$876,828,000 3.000% Guaranteed Notes due 2051 (CUSIP U8209LAF9, ISIN USU8209LAF95 / CUSIP 822905BB0, ISIN US822905BB09) (“</w:t>
      </w:r>
      <w:r>
        <w:rPr>
          <w:rFonts w:ascii="Times New Roman" w:cs="Times New Roman" w:eastAsia="Times New Roman" w:hAnsi="Times New Roman"/>
          <w:sz w:val="14"/>
          <w:szCs w:val="14"/>
          <w:b w:val="1"/>
          <w:bCs w:val="1"/>
          <w:color w:val="auto"/>
        </w:rPr>
        <w:t>Restricted 3.000% 2051 Notes</w:t>
      </w:r>
      <w:r>
        <w:rPr>
          <w:rFonts w:ascii="Times New Roman" w:cs="Times New Roman" w:eastAsia="Times New Roman" w:hAnsi="Times New Roman"/>
          <w:sz w:val="14"/>
          <w:szCs w:val="14"/>
          <w:color w:val="auto"/>
        </w:rPr>
        <w:t>”) for a like principal amount of 3.000% Guaranteed Notes due 2051, which have been registered under the Securities Act (“</w:t>
      </w:r>
      <w:r>
        <w:rPr>
          <w:rFonts w:ascii="Times New Roman" w:cs="Times New Roman" w:eastAsia="Times New Roman" w:hAnsi="Times New Roman"/>
          <w:sz w:val="14"/>
          <w:szCs w:val="14"/>
          <w:b w:val="1"/>
          <w:bCs w:val="1"/>
          <w:color w:val="auto"/>
        </w:rPr>
        <w:t>Exchange 3.000% 2051 Notes</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1480" w:right="719"/>
        <w:spacing w:after="0" w:line="294" w:lineRule="auto"/>
        <w:rPr>
          <w:sz w:val="20"/>
          <w:szCs w:val="20"/>
          <w:color w:val="auto"/>
        </w:rPr>
      </w:pPr>
      <w:r>
        <w:rPr>
          <w:rFonts w:ascii="Times New Roman" w:cs="Times New Roman" w:eastAsia="Times New Roman" w:hAnsi="Times New Roman"/>
          <w:sz w:val="12"/>
          <w:szCs w:val="12"/>
          <w:color w:val="auto"/>
        </w:rPr>
        <w:t>We refer to the Restricted 3.875% 2028 Notes, Restricted 6.375% 2038 Notes, Restricted 5.500% 2040 Notes, Restricted 5.125% 2041 Notes and Restricted 3.125% 2049 Notes and the Restricted 3.000% 2051 Notes as the “</w:t>
      </w:r>
      <w:r>
        <w:rPr>
          <w:rFonts w:ascii="Times New Roman" w:cs="Times New Roman" w:eastAsia="Times New Roman" w:hAnsi="Times New Roman"/>
          <w:sz w:val="12"/>
          <w:szCs w:val="12"/>
          <w:b w:val="1"/>
          <w:bCs w:val="1"/>
          <w:color w:val="auto"/>
        </w:rPr>
        <w:t>Restricted Notes</w:t>
      </w:r>
      <w:r>
        <w:rPr>
          <w:rFonts w:ascii="Times New Roman" w:cs="Times New Roman" w:eastAsia="Times New Roman" w:hAnsi="Times New Roman"/>
          <w:sz w:val="12"/>
          <w:szCs w:val="12"/>
          <w:color w:val="auto"/>
        </w:rPr>
        <w:t>” and the Exchange 3.875% 2028 Notes, Exchange</w:t>
      </w:r>
    </w:p>
    <w:p>
      <w:pPr>
        <w:ind w:left="1480" w:right="499"/>
        <w:spacing w:after="0" w:line="246" w:lineRule="auto"/>
        <w:rPr>
          <w:sz w:val="20"/>
          <w:szCs w:val="20"/>
          <w:color w:val="auto"/>
        </w:rPr>
      </w:pPr>
      <w:r>
        <w:rPr>
          <w:rFonts w:ascii="Times New Roman" w:cs="Times New Roman" w:eastAsia="Times New Roman" w:hAnsi="Times New Roman"/>
          <w:sz w:val="14"/>
          <w:szCs w:val="14"/>
          <w:color w:val="auto"/>
        </w:rPr>
        <w:t>6.375% 2038 Notes, Exchange 5.500% 2040 Notes, Exchange 5.125% 2041 Notes and Exchange 3.125% 2049 Notes and the Exchange 3.000% 2051 Notes as the “</w:t>
      </w:r>
      <w:r>
        <w:rPr>
          <w:rFonts w:ascii="Times New Roman" w:cs="Times New Roman" w:eastAsia="Times New Roman" w:hAnsi="Times New Roman"/>
          <w:sz w:val="14"/>
          <w:szCs w:val="14"/>
          <w:b w:val="1"/>
          <w:bCs w:val="1"/>
          <w:color w:val="auto"/>
        </w:rPr>
        <w:t>Exchange Notes</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1480" w:right="379"/>
        <w:spacing w:after="0" w:line="256" w:lineRule="auto"/>
        <w:rPr>
          <w:sz w:val="20"/>
          <w:szCs w:val="20"/>
          <w:color w:val="auto"/>
        </w:rPr>
      </w:pPr>
      <w:r>
        <w:rPr>
          <w:rFonts w:ascii="Times New Roman" w:cs="Times New Roman" w:eastAsia="Times New Roman" w:hAnsi="Times New Roman"/>
          <w:sz w:val="14"/>
          <w:szCs w:val="14"/>
          <w:color w:val="auto"/>
        </w:rPr>
        <w:t>We are conducting the exchange offers (collectively, the “</w:t>
      </w:r>
      <w:r>
        <w:rPr>
          <w:rFonts w:ascii="Times New Roman" w:cs="Times New Roman" w:eastAsia="Times New Roman" w:hAnsi="Times New Roman"/>
          <w:sz w:val="14"/>
          <w:szCs w:val="14"/>
          <w:b w:val="1"/>
          <w:bCs w:val="1"/>
          <w:color w:val="auto"/>
        </w:rPr>
        <w:t>Exchange Offers</w:t>
      </w:r>
      <w:r>
        <w:rPr>
          <w:rFonts w:ascii="Times New Roman" w:cs="Times New Roman" w:eastAsia="Times New Roman" w:hAnsi="Times New Roman"/>
          <w:sz w:val="14"/>
          <w:szCs w:val="14"/>
          <w:color w:val="auto"/>
        </w:rPr>
        <w:t>”) in order to provide you with an opportunity to exchange your Restricted Notes for Exchange Notes that have been registered under the Securities Act. The Restricted Notes and the Exchange Notes are sometimes referred to in this prospectus together as the “notes”.</w:t>
      </w:r>
    </w:p>
    <w:p>
      <w:pPr>
        <w:sectPr>
          <w:pgSz w:w="11900" w:h="16838" w:orient="portrait"/>
          <w:cols w:equalWidth="0" w:num="1">
            <w:col w:w="10159"/>
          </w:cols>
          <w:pgMar w:left="300" w:top="37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Material Terms of the Exchange Offers:</w:t>
      </w:r>
    </w:p>
    <w:p>
      <w:pPr>
        <w:spacing w:after="0" w:line="190" w:lineRule="exact"/>
        <w:rPr>
          <w:sz w:val="20"/>
          <w:szCs w:val="20"/>
          <w:color w:val="auto"/>
        </w:rPr>
      </w:pPr>
    </w:p>
    <w:p>
      <w:pPr>
        <w:ind w:left="2220" w:right="479" w:hanging="331"/>
        <w:spacing w:after="0" w:line="264"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Shell Finance US will exchange all Restricted Notes that are validly tendered and not validly withdrawn for an equal principal amount of Exchange Notes that are freely tradable.</w:t>
      </w:r>
    </w:p>
    <w:p>
      <w:pPr>
        <w:spacing w:after="0" w:line="15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may withdraw tenders of Restricted Notes at any time prior to the expiration of the relevant Exchange Offer.</w:t>
      </w:r>
    </w:p>
    <w:p>
      <w:pPr>
        <w:sectPr>
          <w:pgSz w:w="11900" w:h="16838" w:orient="portrait"/>
          <w:cols w:equalWidth="0" w:num="1">
            <w:col w:w="10159"/>
          </w:cols>
          <w:pgMar w:left="300" w:top="378" w:right="1440" w:bottom="1440" w:gutter="0" w:footer="0" w:header="0"/>
        </w:sectPr>
      </w:pPr>
    </w:p>
    <w:p>
      <w:pPr>
        <w:spacing w:after="0" w:line="18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479"/>
        <w:spacing w:after="0" w:line="253" w:lineRule="auto"/>
        <w:rPr>
          <w:sz w:val="20"/>
          <w:szCs w:val="20"/>
          <w:color w:val="auto"/>
        </w:rPr>
      </w:pPr>
      <w:r>
        <w:rPr>
          <w:rFonts w:ascii="Times New Roman" w:cs="Times New Roman" w:eastAsia="Times New Roman" w:hAnsi="Times New Roman"/>
          <w:sz w:val="14"/>
          <w:szCs w:val="14"/>
          <w:color w:val="auto"/>
        </w:rPr>
        <w:t>Each Exchange Offer will expire at 5:00 p.m., New York City time, on        , 2026 (the “Expiration Date”), unless extended. We do not currently intend to extend the Expiration Date unless required to do so by applicable law as described under “The Exchange Offers— Extensions; Amendments; Waiver; Termination”.</w:t>
      </w:r>
    </w:p>
    <w:p>
      <w:pPr>
        <w:spacing w:after="0" w:line="164" w:lineRule="exact"/>
        <w:rPr>
          <w:sz w:val="20"/>
          <w:szCs w:val="20"/>
          <w:color w:val="auto"/>
        </w:rPr>
      </w:pPr>
    </w:p>
    <w:p>
      <w:pPr>
        <w:sectPr>
          <w:pgSz w:w="11900" w:h="16838" w:orient="portrait"/>
          <w:cols w:equalWidth="0" w:num="2">
            <w:col w:w="1940" w:space="280"/>
            <w:col w:w="7939"/>
          </w:cols>
          <w:pgMar w:left="300" w:top="378" w:right="1440" w:bottom="1440" w:gutter="0" w:footer="0" w:header="0"/>
          <w:type w:val="continuous"/>
        </w:sectPr>
      </w:pPr>
    </w:p>
    <w:p>
      <w:pPr>
        <w:ind w:left="2220" w:right="879" w:hanging="331"/>
        <w:spacing w:after="0" w:line="264"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must validly tender (and not validly withdraw) the Restricted Notes in at least the minimum denomination of $1,000. The Exchange Notes will be issued only in minimum denominations of $1,000 and whole multiples of $1,000 thereafter.</w:t>
      </w:r>
    </w:p>
    <w:p>
      <w:pPr>
        <w:spacing w:after="0" w:line="155" w:lineRule="exact"/>
        <w:rPr>
          <w:rFonts w:ascii="Times New Roman" w:cs="Times New Roman" w:eastAsia="Times New Roman" w:hAnsi="Times New Roman"/>
          <w:sz w:val="14"/>
          <w:szCs w:val="14"/>
          <w:color w:val="auto"/>
        </w:rPr>
      </w:pPr>
    </w:p>
    <w:p>
      <w:pPr>
        <w:ind w:left="2220" w:right="599" w:hanging="331"/>
        <w:spacing w:after="0" w:line="264"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exchange your Restricted Notes, you are required to make certain representations to us. See “The Exchange Offers—Procedures for Tendering Restricted Notes” for more information.</w:t>
      </w:r>
    </w:p>
    <w:p>
      <w:pPr>
        <w:spacing w:after="0" w:line="15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of Restricted Notes for Exchange Notes will not be a taxable event for U.S. federal income tax purposes.</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not receive any proceeds from the Exchange Offers.</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The Exchange Notes:</w:t>
      </w:r>
    </w:p>
    <w:p>
      <w:pPr>
        <w:spacing w:after="0" w:line="190" w:lineRule="exact"/>
        <w:rPr>
          <w:sz w:val="20"/>
          <w:szCs w:val="20"/>
          <w:color w:val="auto"/>
        </w:rPr>
      </w:pPr>
    </w:p>
    <w:p>
      <w:pPr>
        <w:ind w:left="2220" w:right="379" w:hanging="331"/>
        <w:spacing w:after="0" w:line="247"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Exchange Notes to be issued in the Exchange Offers are substantially identical to the terms of the corresponding series of Restricted Notes, except that the Exchange Notes will be registered under the Securities Act and the transfer restrictions, registration rights and additional interest provisions applicable to the Restricted Notes will not apply to the Exchange Notes. In addition, each series of Exchange Notes will bear different CUSIP numbers than the corresponding series of Restricted Notes. The Exchange Notes will represent the same debt as the Restricted Notes, and Shell Finance US will issue the Exchange Notes under the same indenture that governs the Restricted Notes.</w:t>
      </w:r>
    </w:p>
    <w:p>
      <w:pPr>
        <w:spacing w:after="0" w:line="165" w:lineRule="exact"/>
        <w:rPr>
          <w:rFonts w:ascii="Times New Roman" w:cs="Times New Roman" w:eastAsia="Times New Roman" w:hAnsi="Times New Roman"/>
          <w:sz w:val="14"/>
          <w:szCs w:val="14"/>
          <w:color w:val="auto"/>
        </w:rPr>
      </w:pPr>
    </w:p>
    <w:p>
      <w:pPr>
        <w:ind w:left="2220" w:right="399" w:hanging="331"/>
        <w:spacing w:after="0" w:line="252"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plan to issue the Exchange Notes promptly on or about the third business day following the Expiration Time (the “</w:t>
      </w:r>
      <w:r>
        <w:rPr>
          <w:rFonts w:ascii="Times New Roman" w:cs="Times New Roman" w:eastAsia="Times New Roman" w:hAnsi="Times New Roman"/>
          <w:sz w:val="14"/>
          <w:szCs w:val="14"/>
          <w:b w:val="1"/>
          <w:bCs w:val="1"/>
          <w:color w:val="auto"/>
        </w:rPr>
        <w:t>Settlement Date</w:t>
      </w:r>
      <w:r>
        <w:rPr>
          <w:rFonts w:ascii="Times New Roman" w:cs="Times New Roman" w:eastAsia="Times New Roman" w:hAnsi="Times New Roman"/>
          <w:sz w:val="14"/>
          <w:szCs w:val="14"/>
          <w:color w:val="auto"/>
        </w:rPr>
        <w:t>”). The Restricted Notes are not listed on any securities exchange. We intend to apply to list the Exchange Notes on the New York Stock Exchange (“</w:t>
      </w:r>
      <w:r>
        <w:rPr>
          <w:rFonts w:ascii="Times New Roman" w:cs="Times New Roman" w:eastAsia="Times New Roman" w:hAnsi="Times New Roman"/>
          <w:sz w:val="14"/>
          <w:szCs w:val="14"/>
          <w:b w:val="1"/>
          <w:bCs w:val="1"/>
          <w:color w:val="auto"/>
        </w:rPr>
        <w:t>NYSE</w:t>
      </w:r>
      <w:r>
        <w:rPr>
          <w:rFonts w:ascii="Times New Roman" w:cs="Times New Roman" w:eastAsia="Times New Roman" w:hAnsi="Times New Roman"/>
          <w:sz w:val="14"/>
          <w:szCs w:val="14"/>
          <w:color w:val="auto"/>
        </w:rPr>
        <w:t>”). There can be no assurance that any series of Exchange Notes will be listed on the NYSE or as to the development or liquidity of any market for any series of the Exchange Notes.</w:t>
      </w:r>
    </w:p>
    <w:p>
      <w:pPr>
        <w:spacing w:after="0" w:line="144" w:lineRule="exact"/>
        <w:rPr>
          <w:sz w:val="20"/>
          <w:szCs w:val="20"/>
          <w:color w:val="auto"/>
        </w:rPr>
      </w:pPr>
    </w:p>
    <w:p>
      <w:pPr>
        <w:ind w:left="1480" w:right="399"/>
        <w:spacing w:after="0" w:line="250" w:lineRule="auto"/>
        <w:rPr>
          <w:sz w:val="20"/>
          <w:szCs w:val="20"/>
          <w:color w:val="auto"/>
        </w:rPr>
      </w:pPr>
      <w:r>
        <w:rPr>
          <w:rFonts w:ascii="Times New Roman" w:cs="Times New Roman" w:eastAsia="Times New Roman" w:hAnsi="Times New Roman"/>
          <w:sz w:val="14"/>
          <w:szCs w:val="14"/>
          <w:color w:val="auto"/>
        </w:rPr>
        <w:t>All untendered Restricted Notes will continue to be subject to the restrictions on transfer set forth in the Restricted Notes and in the indenture governing the Restricted Notes. In general, the Restricted Notes may not be offered or sold, unless registered under the Securities Act, except pursuant to an exemption from, or in a transaction not subject to, registration under the Securities Act. Other than in connection with the Exchange Offers, Shell Finance US does not currently anticipate that it will register any series of the Restricted Notes under the Securities Act.</w:t>
      </w:r>
    </w:p>
    <w:p>
      <w:pPr>
        <w:spacing w:after="0" w:line="145" w:lineRule="exact"/>
        <w:rPr>
          <w:sz w:val="20"/>
          <w:szCs w:val="20"/>
          <w:color w:val="auto"/>
        </w:rPr>
      </w:pPr>
    </w:p>
    <w:p>
      <w:pPr>
        <w:ind w:left="1480" w:right="459"/>
        <w:spacing w:after="0" w:line="248" w:lineRule="auto"/>
        <w:rPr>
          <w:sz w:val="20"/>
          <w:szCs w:val="20"/>
          <w:color w:val="auto"/>
        </w:rPr>
      </w:pPr>
      <w:r>
        <w:rPr>
          <w:rFonts w:ascii="Times New Roman" w:cs="Times New Roman" w:eastAsia="Times New Roman" w:hAnsi="Times New Roman"/>
          <w:sz w:val="14"/>
          <w:szCs w:val="14"/>
          <w:color w:val="auto"/>
        </w:rPr>
        <w:t>Each broker-dealer that receives Exchange Notes for its own account pursuant to an Exchange Offer must acknowledge that it will deliver a prospectus in connection with any resale of such Exchange Notes.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Restricted Notes where such Restricted Notes were acquired by such broker-dealer as a result of</w:t>
      </w:r>
    </w:p>
    <w:p>
      <w:pPr>
        <w:sectPr>
          <w:pgSz w:w="11900" w:h="16838" w:orient="portrait"/>
          <w:cols w:equalWidth="0" w:num="1">
            <w:col w:w="10159"/>
          </w:cols>
          <w:pgMar w:left="300" w:top="378" w:right="1440"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59"/>
        <w:spacing w:after="0" w:line="250" w:lineRule="auto"/>
        <w:rPr>
          <w:sz w:val="20"/>
          <w:szCs w:val="20"/>
          <w:color w:val="auto"/>
        </w:rPr>
      </w:pPr>
      <w:r>
        <w:rPr>
          <w:rFonts w:ascii="Times New Roman" w:cs="Times New Roman" w:eastAsia="Times New Roman" w:hAnsi="Times New Roman"/>
          <w:sz w:val="14"/>
          <w:szCs w:val="14"/>
          <w:color w:val="auto"/>
        </w:rPr>
        <w:t>market-making activities or other trading activities. Shell Finance US has agreed that it will furnish to each broker-dealer who has delivered the notice to Shell Finance US required by and in accordance with the Registration Rights Agreement (as defined herein), without charge, as many copies of this prospectus and any amendment and supplement hereto, as such participating broker-dealer may reasonably request in connection with its resale of such Exchange Notes. See “Plan of Distribution”.</w:t>
      </w:r>
    </w:p>
    <w:p>
      <w:pPr>
        <w:spacing w:after="0" w:line="141" w:lineRule="exact"/>
        <w:rPr>
          <w:sz w:val="20"/>
          <w:szCs w:val="20"/>
          <w:color w:val="auto"/>
        </w:rPr>
      </w:pPr>
    </w:p>
    <w:p>
      <w:pPr>
        <w:jc w:val="both"/>
        <w:ind w:left="1480" w:right="39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Prior to participating in any of the Exchange Offers, please see the section entitled “Risk Factors” beginning on page 10 of this prospectus for a discussion of the factors you should consider in determining whether to tender your Restricted Notes. </w:t>
      </w:r>
      <w:r>
        <w:rPr>
          <w:rFonts w:ascii="Times New Roman" w:cs="Times New Roman" w:eastAsia="Times New Roman" w:hAnsi="Times New Roman"/>
          <w:sz w:val="14"/>
          <w:szCs w:val="14"/>
          <w:b w:val="1"/>
          <w:bCs w:val="1"/>
          <w:i w:val="1"/>
          <w:iCs w:val="1"/>
          <w:color w:val="auto"/>
        </w:rPr>
        <w:t>Additionally, see the section entitled “Risk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Factors” in our Annual Report on Form 20-F for the fiscal year ended December 31, 2025 filed with the U.S. Securities and Exchange Commission (“SEC”) on March 12, 2026, which is incorporated by reference herein.</w:t>
      </w:r>
    </w:p>
    <w:p>
      <w:pPr>
        <w:spacing w:after="0" w:line="140" w:lineRule="exact"/>
        <w:rPr>
          <w:sz w:val="20"/>
          <w:szCs w:val="20"/>
          <w:color w:val="auto"/>
        </w:rPr>
      </w:pPr>
    </w:p>
    <w:p>
      <w:pPr>
        <w:ind w:left="1480" w:right="519"/>
        <w:spacing w:after="0" w:line="270"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156210</wp:posOffset>
            </wp:positionV>
            <wp:extent cx="111442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4425" cy="6350"/>
                    </a:xfrm>
                    <a:prstGeom prst="rect">
                      <a:avLst/>
                    </a:prstGeom>
                    <a:noFill/>
                  </pic:spPr>
                </pic:pic>
              </a:graphicData>
            </a:graphic>
          </wp:anchor>
        </w:drawing>
      </w:r>
    </w:p>
    <w:p>
      <w:pPr>
        <w:spacing w:after="0" w:line="38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ectPr>
          <w:pgSz w:w="11900" w:h="16838" w:orient="portrait"/>
          <w:cols w:equalWidth="0" w:num="1">
            <w:col w:w="10159"/>
          </w:cols>
          <w:pgMar w:left="300" w:top="37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4" w:lineRule="exact"/>
        <w:rPr>
          <w:sz w:val="20"/>
          <w:szCs w:val="20"/>
          <w:color w:val="auto"/>
        </w:rPr>
      </w:pPr>
    </w:p>
    <w:tbl>
      <w:tblPr>
        <w:tblLayout w:type="fixed"/>
        <w:tblInd w:w="1480" w:type="dxa"/>
        <w:tblCellMar>
          <w:top w:w="0" w:type="dxa"/>
          <w:left w:w="0" w:type="dxa"/>
          <w:bottom w:w="0" w:type="dxa"/>
          <w:right w:w="0" w:type="dxa"/>
        </w:tblCellMar>
      </w:tblPr>
      <w:tr>
        <w:trPr>
          <w:trHeight w:val="143"/>
        </w:trPr>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03"/>
        </w:trPr>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ii</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25"/>
        </w:trPr>
        <w:tc>
          <w:tcPr>
            <w:tcW w:w="48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EE"/>
                <w:w w:val="95"/>
              </w:rPr>
              <w:t>CAUTIONARY STATEMENT REGARDING FORWARD-LOOKING STATEMENTS</w:t>
            </w:r>
          </w:p>
        </w:tc>
        <w:tc>
          <w:tcPr>
            <w:tcW w:w="16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ii</w:t>
            </w:r>
          </w:p>
        </w:tc>
      </w:tr>
      <w:tr>
        <w:trPr>
          <w:trHeight w:val="225"/>
        </w:trPr>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WHERE YOU CAN FIND MORE INFORMATION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iv</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25"/>
        </w:trPr>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ENFORCEABILITY OF CERTAIN CIVIL LIABILITIES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v</w:t>
            </w:r>
          </w:p>
        </w:tc>
      </w:tr>
      <w:tr>
        <w:trPr>
          <w:trHeight w:val="225"/>
        </w:trPr>
        <w:tc>
          <w:tcPr>
            <w:tcW w:w="7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3"/>
              </w:rPr>
              <w:t>SUMMARY</w:t>
            </w:r>
          </w:p>
        </w:tc>
        <w:tc>
          <w:tcPr>
            <w:tcW w:w="2480" w:type="dxa"/>
            <w:vAlign w:val="bottom"/>
            <w:tcBorders>
              <w:top w:val="single" w:sz="8" w:color="0000EE"/>
            </w:tcBorders>
            <w:gridSpan w:val="8"/>
          </w:tcPr>
          <w:p>
            <w:pPr>
              <w:spacing w:after="0"/>
              <w:rPr>
                <w:sz w:val="19"/>
                <w:szCs w:val="19"/>
                <w:color w:val="auto"/>
              </w:rPr>
            </w:pPr>
          </w:p>
        </w:tc>
        <w:tc>
          <w:tcPr>
            <w:tcW w:w="3240" w:type="dxa"/>
            <w:vAlign w:val="bottom"/>
            <w:gridSpan w:val="4"/>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5"/>
        </w:trPr>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RISK FACTORS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
        </w:trPr>
        <w:tc>
          <w:tcPr>
            <w:tcW w:w="5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25"/>
        </w:trPr>
        <w:tc>
          <w:tcPr>
            <w:tcW w:w="12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5"/>
              </w:rPr>
              <w:t>USE OF PROCEEDS</w:t>
            </w:r>
          </w:p>
        </w:tc>
        <w:tc>
          <w:tcPr>
            <w:tcW w:w="5220" w:type="dxa"/>
            <w:vAlign w:val="bottom"/>
            <w:gridSpan w:val="10"/>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25"/>
        </w:trPr>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THE EXCHANGE OFFERS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
        </w:trPr>
        <w:tc>
          <w:tcPr>
            <w:tcW w:w="58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25"/>
        </w:trPr>
        <w:tc>
          <w:tcPr>
            <w:tcW w:w="39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4"/>
                <w:szCs w:val="14"/>
                <w:color w:val="0000EE"/>
                <w:w w:val="96"/>
              </w:rPr>
              <w:t>DESCRIPTION OF THE EXCHANGE NOTES AND GUARANTEES</w:t>
            </w:r>
          </w:p>
        </w:tc>
        <w:tc>
          <w:tcPr>
            <w:tcW w:w="2500" w:type="dxa"/>
            <w:vAlign w:val="bottom"/>
            <w:gridSpan w:val="2"/>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25"/>
        </w:trPr>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MATERIAL U.S. FEDERAL INCOME TAX CONSIDERATIONS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25"/>
        </w:trPr>
        <w:tc>
          <w:tcPr>
            <w:tcW w:w="368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rPr>
              <w:t>PLAN OF DISTRIBUTION</w:t>
            </w:r>
          </w:p>
        </w:tc>
        <w:tc>
          <w:tcPr>
            <w:tcW w:w="2740" w:type="dxa"/>
            <w:vAlign w:val="bottom"/>
            <w:gridSpan w:val="3"/>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0"/>
        </w:trPr>
        <w:tc>
          <w:tcPr>
            <w:tcW w:w="58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760" w:type="dxa"/>
            <w:vAlign w:val="bottom"/>
            <w:gridSpan w:val="6"/>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25"/>
        </w:trPr>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NOTICES TO CERTAIN NON-U.S. HOLDERS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25"/>
        </w:trPr>
        <w:tc>
          <w:tcPr>
            <w:tcW w:w="13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w w:val="94"/>
              </w:rPr>
              <w:t>VALIDITY OF NOTES</w:t>
            </w:r>
          </w:p>
        </w:tc>
        <w:tc>
          <w:tcPr>
            <w:tcW w:w="1340" w:type="dxa"/>
            <w:vAlign w:val="bottom"/>
            <w:tcBorders>
              <w:top w:val="single" w:sz="8" w:color="0000EE"/>
            </w:tcBorders>
            <w:gridSpan w:val="3"/>
          </w:tcPr>
          <w:p>
            <w:pPr>
              <w:spacing w:after="0"/>
              <w:rPr>
                <w:sz w:val="19"/>
                <w:szCs w:val="19"/>
                <w:color w:val="auto"/>
              </w:rPr>
            </w:pPr>
          </w:p>
        </w:tc>
        <w:tc>
          <w:tcPr>
            <w:tcW w:w="3760" w:type="dxa"/>
            <w:vAlign w:val="bottom"/>
            <w:gridSpan w:val="6"/>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25"/>
        </w:trPr>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EXPERTS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85"/>
        </w:trPr>
        <w:tc>
          <w:tcPr>
            <w:tcW w:w="5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w:t>
            </w:r>
          </w:p>
        </w:tc>
        <w:tc>
          <w:tcPr>
            <w:tcW w:w="1860" w:type="dxa"/>
            <w:vAlign w:val="bottom"/>
          </w:tcPr>
          <w:p>
            <w:pPr>
              <w:spacing w:after="0"/>
              <w:rPr>
                <w:sz w:val="24"/>
                <w:szCs w:val="24"/>
                <w:color w:val="auto"/>
              </w:rPr>
            </w:pPr>
          </w:p>
        </w:tc>
      </w:tr>
    </w:tbl>
    <w:p>
      <w:pPr>
        <w:sectPr>
          <w:pgSz w:w="11900" w:h="16838" w:orient="portrait"/>
          <w:cols w:equalWidth="0" w:num="1">
            <w:col w:w="10159"/>
          </w:cols>
          <w:pgMar w:left="300" w:top="37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66" w:lineRule="exact"/>
        <w:rPr>
          <w:sz w:val="20"/>
          <w:szCs w:val="20"/>
          <w:color w:val="auto"/>
        </w:rPr>
      </w:pPr>
    </w:p>
    <w:p>
      <w:pPr>
        <w:ind w:left="1480" w:right="379"/>
        <w:spacing w:after="0" w:line="252" w:lineRule="auto"/>
        <w:rPr>
          <w:sz w:val="20"/>
          <w:szCs w:val="20"/>
          <w:color w:val="auto"/>
        </w:rPr>
      </w:pPr>
      <w:r>
        <w:rPr>
          <w:rFonts w:ascii="Times New Roman" w:cs="Times New Roman" w:eastAsia="Times New Roman" w:hAnsi="Times New Roman"/>
          <w:sz w:val="14"/>
          <w:szCs w:val="14"/>
          <w:color w:val="auto"/>
        </w:rPr>
        <w:t>In this prospectus, “</w:t>
      </w:r>
      <w:r>
        <w:rPr>
          <w:rFonts w:ascii="Times New Roman" w:cs="Times New Roman" w:eastAsia="Times New Roman" w:hAnsi="Times New Roman"/>
          <w:sz w:val="14"/>
          <w:szCs w:val="14"/>
          <w:b w:val="1"/>
          <w:bCs w:val="1"/>
          <w:color w:val="auto"/>
        </w:rPr>
        <w:t>Shell</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Guarantor</w:t>
      </w:r>
      <w:r>
        <w:rPr>
          <w:rFonts w:ascii="Times New Roman" w:cs="Times New Roman" w:eastAsia="Times New Roman" w:hAnsi="Times New Roman"/>
          <w:sz w:val="14"/>
          <w:szCs w:val="14"/>
          <w:color w:val="auto"/>
        </w:rPr>
        <w:t>” refers to Shell plc; “</w:t>
      </w:r>
      <w:r>
        <w:rPr>
          <w:rFonts w:ascii="Times New Roman" w:cs="Times New Roman" w:eastAsia="Times New Roman" w:hAnsi="Times New Roman"/>
          <w:sz w:val="14"/>
          <w:szCs w:val="14"/>
          <w:b w:val="1"/>
          <w:bCs w:val="1"/>
          <w:color w:val="auto"/>
        </w:rPr>
        <w:t>Shell Group</w:t>
      </w:r>
      <w:r>
        <w:rPr>
          <w:rFonts w:ascii="Times New Roman" w:cs="Times New Roman" w:eastAsia="Times New Roman" w:hAnsi="Times New Roman"/>
          <w:sz w:val="14"/>
          <w:szCs w:val="14"/>
          <w:color w:val="auto"/>
        </w:rPr>
        <w:t>” refers to Shell and its subsidiaries; “</w:t>
      </w:r>
      <w:r>
        <w:rPr>
          <w:rFonts w:ascii="Times New Roman" w:cs="Times New Roman" w:eastAsia="Times New Roman" w:hAnsi="Times New Roman"/>
          <w:sz w:val="14"/>
          <w:szCs w:val="14"/>
          <w:b w:val="1"/>
          <w:bCs w:val="1"/>
          <w:color w:val="auto"/>
        </w:rPr>
        <w:t>Shell Finance US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Issuer</w:t>
      </w:r>
      <w:r>
        <w:rPr>
          <w:rFonts w:ascii="Times New Roman" w:cs="Times New Roman" w:eastAsia="Times New Roman" w:hAnsi="Times New Roman"/>
          <w:sz w:val="14"/>
          <w:szCs w:val="14"/>
          <w:color w:val="auto"/>
        </w:rPr>
        <w:t>” refers to Shell Finance US Inc.; “</w:t>
      </w:r>
      <w:r>
        <w:rPr>
          <w:rFonts w:ascii="Times New Roman" w:cs="Times New Roman" w:eastAsia="Times New Roman" w:hAnsi="Times New Roman"/>
          <w:sz w:val="14"/>
          <w:szCs w:val="14"/>
          <w:b w:val="1"/>
          <w:bCs w:val="1"/>
          <w:color w:val="auto"/>
        </w:rPr>
        <w:t>Royal Dutch</w:t>
      </w:r>
      <w:r>
        <w:rPr>
          <w:rFonts w:ascii="Times New Roman" w:cs="Times New Roman" w:eastAsia="Times New Roman" w:hAnsi="Times New Roman"/>
          <w:sz w:val="14"/>
          <w:szCs w:val="14"/>
          <w:color w:val="auto"/>
        </w:rPr>
        <w:t>” refers to N.V. Koninklijke Nederlandsche Petroleum Maatschappij (also known as Royal Dutch Petroleum Company); “</w:t>
      </w:r>
      <w:r>
        <w:rPr>
          <w:rFonts w:ascii="Times New Roman" w:cs="Times New Roman" w:eastAsia="Times New Roman" w:hAnsi="Times New Roman"/>
          <w:sz w:val="14"/>
          <w:szCs w:val="14"/>
          <w:b w:val="1"/>
          <w:bCs w:val="1"/>
          <w:color w:val="auto"/>
        </w:rPr>
        <w:t>Shell Transport</w:t>
      </w:r>
      <w:r>
        <w:rPr>
          <w:rFonts w:ascii="Times New Roman" w:cs="Times New Roman" w:eastAsia="Times New Roman" w:hAnsi="Times New Roman"/>
          <w:sz w:val="14"/>
          <w:szCs w:val="14"/>
          <w:color w:val="auto"/>
        </w:rPr>
        <w:t>” refers to The Shell Transport and Trading Company Limited (formerly The “Shell” Transport and Trading Company, p.l.c.); and the terms “</w:t>
      </w:r>
      <w:r>
        <w:rPr>
          <w:rFonts w:ascii="Times New Roman" w:cs="Times New Roman" w:eastAsia="Times New Roman" w:hAnsi="Times New Roman"/>
          <w:sz w:val="14"/>
          <w:szCs w:val="14"/>
          <w:b w:val="1"/>
          <w:bCs w:val="1"/>
          <w:color w:val="auto"/>
        </w:rPr>
        <w:t>we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us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our</w:t>
      </w:r>
      <w:r>
        <w:rPr>
          <w:rFonts w:ascii="Times New Roman" w:cs="Times New Roman" w:eastAsia="Times New Roman" w:hAnsi="Times New Roman"/>
          <w:sz w:val="14"/>
          <w:szCs w:val="14"/>
          <w:color w:val="auto"/>
        </w:rPr>
        <w:t>” refer to Shell or the Shell Group, as the context may require.</w:t>
      </w:r>
    </w:p>
    <w:p>
      <w:pPr>
        <w:spacing w:after="0" w:line="144" w:lineRule="exact"/>
        <w:rPr>
          <w:sz w:val="20"/>
          <w:szCs w:val="20"/>
          <w:color w:val="auto"/>
        </w:rPr>
      </w:pPr>
    </w:p>
    <w:p>
      <w:pPr>
        <w:ind w:left="1480" w:right="399"/>
        <w:spacing w:after="0" w:line="247" w:lineRule="auto"/>
        <w:rPr>
          <w:sz w:val="20"/>
          <w:szCs w:val="20"/>
          <w:color w:val="auto"/>
        </w:rPr>
      </w:pPr>
      <w:r>
        <w:rPr>
          <w:rFonts w:ascii="Times New Roman" w:cs="Times New Roman" w:eastAsia="Times New Roman" w:hAnsi="Times New Roman"/>
          <w:sz w:val="14"/>
          <w:szCs w:val="14"/>
          <w:color w:val="auto"/>
        </w:rPr>
        <w:t>No person is authorized to give any information other than the information contained or incorporated by reference in this prospectus. We take no responsibility for, and can provide no assurance as to the reliability of, any other information that others may give you. This prospectus is not an offer to sell or the solicitation of an offer to buy any securities in any jurisdiction where it is unlawful. The delivery of this prospectus will not, under any circumstances, create any implication that there has been no change in our affairs since the date of this prospectus or that the information contained or incorporated by reference is correct as of any time subsequent to the date of such information. Our business, financial condition, results of operations and prospects may have changed since those dates.</w:t>
      </w:r>
    </w:p>
    <w:p>
      <w:pPr>
        <w:spacing w:after="0" w:line="1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This prospectus is part of a registration statement that we have filed with the U.S. Securities and Exchange Commission (the “</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or the</w:t>
      </w:r>
    </w:p>
    <w:p>
      <w:pPr>
        <w:spacing w:after="0" w:line="18" w:lineRule="exact"/>
        <w:rPr>
          <w:sz w:val="20"/>
          <w:szCs w:val="20"/>
          <w:color w:val="auto"/>
        </w:rPr>
      </w:pPr>
    </w:p>
    <w:p>
      <w:pPr>
        <w:ind w:left="1480" w:right="539"/>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Prior to making any decision with respect to the Exchange Offers, you should read this prospectus and any prospectus supplement, together with the documents incorporated by reference herein, the registration statement, the exhibits thereto and the additional information described under the heading “Where You Can Find More Information.”</w:t>
      </w:r>
    </w:p>
    <w:p>
      <w:pPr>
        <w:spacing w:after="0" w:line="144" w:lineRule="exact"/>
        <w:rPr>
          <w:sz w:val="20"/>
          <w:szCs w:val="20"/>
          <w:color w:val="auto"/>
        </w:rPr>
      </w:pPr>
    </w:p>
    <w:p>
      <w:pPr>
        <w:ind w:left="1480" w:right="499"/>
        <w:spacing w:after="0" w:line="256" w:lineRule="auto"/>
        <w:rPr>
          <w:sz w:val="20"/>
          <w:szCs w:val="20"/>
          <w:color w:val="auto"/>
        </w:rPr>
      </w:pPr>
      <w:r>
        <w:rPr>
          <w:rFonts w:ascii="Times New Roman" w:cs="Times New Roman" w:eastAsia="Times New Roman" w:hAnsi="Times New Roman"/>
          <w:sz w:val="14"/>
          <w:szCs w:val="14"/>
          <w:color w:val="auto"/>
        </w:rPr>
        <w:t>In this prospectus, “</w:t>
      </w:r>
      <w:r>
        <w:rPr>
          <w:rFonts w:ascii="Times New Roman" w:cs="Times New Roman" w:eastAsia="Times New Roman" w:hAnsi="Times New Roman"/>
          <w:sz w:val="14"/>
          <w:szCs w:val="14"/>
          <w:b w:val="1"/>
          <w:bCs w:val="1"/>
          <w:color w:val="auto"/>
        </w:rPr>
        <w:t>U.S. dollars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refers to the lawful currency of the United States (“</w:t>
      </w:r>
      <w:r>
        <w:rPr>
          <w:rFonts w:ascii="Times New Roman" w:cs="Times New Roman" w:eastAsia="Times New Roman" w:hAnsi="Times New Roman"/>
          <w:sz w:val="14"/>
          <w:szCs w:val="14"/>
          <w:b w:val="1"/>
          <w:bCs w:val="1"/>
          <w:color w:val="auto"/>
        </w:rPr>
        <w:t>U.S.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pounds sterling</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pence</w:t>
      </w:r>
      <w:r>
        <w:rPr>
          <w:rFonts w:ascii="Times New Roman" w:cs="Times New Roman" w:eastAsia="Times New Roman" w:hAnsi="Times New Roman"/>
          <w:sz w:val="14"/>
          <w:szCs w:val="14"/>
          <w:color w:val="auto"/>
        </w:rPr>
        <w:t>” refers to the lawful currency of the United Kingdom (“</w:t>
      </w:r>
      <w:r>
        <w:rPr>
          <w:rFonts w:ascii="Times New Roman" w:cs="Times New Roman" w:eastAsia="Times New Roman" w:hAnsi="Times New Roman"/>
          <w:sz w:val="14"/>
          <w:szCs w:val="14"/>
          <w:b w:val="1"/>
          <w:bCs w:val="1"/>
          <w:color w:val="auto"/>
        </w:rPr>
        <w:t>U.K.</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euro</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refers to the currency established for participating member states of the European Union (“</w:t>
      </w:r>
      <w:r>
        <w:rPr>
          <w:rFonts w:ascii="Times New Roman" w:cs="Times New Roman" w:eastAsia="Times New Roman" w:hAnsi="Times New Roman"/>
          <w:sz w:val="14"/>
          <w:szCs w:val="14"/>
          <w:b w:val="1"/>
          <w:bCs w:val="1"/>
          <w:color w:val="auto"/>
        </w:rPr>
        <w:t>E.U.</w:t>
      </w:r>
      <w:r>
        <w:rPr>
          <w:rFonts w:ascii="Times New Roman" w:cs="Times New Roman" w:eastAsia="Times New Roman" w:hAnsi="Times New Roman"/>
          <w:sz w:val="14"/>
          <w:szCs w:val="14"/>
          <w:color w:val="auto"/>
        </w:rPr>
        <w:t>”) as of the beginning of stage three of the European Monetary Union on January 1, 1999.</w:t>
      </w:r>
    </w:p>
    <w:p>
      <w:pPr>
        <w:spacing w:after="0" w:line="13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70" w:lineRule="exact"/>
        <w:rPr>
          <w:sz w:val="20"/>
          <w:szCs w:val="20"/>
          <w:color w:val="auto"/>
        </w:rPr>
      </w:pPr>
    </w:p>
    <w:p>
      <w:pPr>
        <w:ind w:left="1480" w:right="419"/>
        <w:spacing w:after="0" w:line="250" w:lineRule="auto"/>
        <w:rPr>
          <w:sz w:val="20"/>
          <w:szCs w:val="20"/>
          <w:color w:val="auto"/>
        </w:rPr>
      </w:pPr>
      <w:r>
        <w:rPr>
          <w:rFonts w:ascii="Times New Roman" w:cs="Times New Roman" w:eastAsia="Times New Roman" w:hAnsi="Times New Roman"/>
          <w:sz w:val="14"/>
          <w:szCs w:val="14"/>
          <w:color w:val="auto"/>
        </w:rPr>
        <w:t>The SEC encourages companies to disclose forward-looking information so that investors can better understand a company’s future prospects and make informed investment decisions. This prospectus, any prospectus supplement and documents incorporated by reference in this prospectus and any prospectus supplement may contain forward-looking statements concerning the financial condition, results of operations and businesses of the Shell Group. All statements other than statements of historical fact are, or may be deemed to be, forward-looking statements.</w:t>
      </w:r>
    </w:p>
    <w:p>
      <w:pPr>
        <w:spacing w:after="0" w:line="145" w:lineRule="exact"/>
        <w:rPr>
          <w:sz w:val="20"/>
          <w:szCs w:val="20"/>
          <w:color w:val="auto"/>
        </w:rPr>
      </w:pPr>
    </w:p>
    <w:p>
      <w:pPr>
        <w:ind w:left="1480" w:right="359"/>
        <w:spacing w:after="0" w:line="250" w:lineRule="auto"/>
        <w:rPr>
          <w:sz w:val="20"/>
          <w:szCs w:val="20"/>
          <w:color w:val="auto"/>
        </w:rPr>
      </w:pPr>
      <w:r>
        <w:rPr>
          <w:rFonts w:ascii="Times New Roman" w:cs="Times New Roman" w:eastAsia="Times New Roman" w:hAnsi="Times New Roman"/>
          <w:sz w:val="14"/>
          <w:szCs w:val="14"/>
          <w:color w:val="auto"/>
        </w:rPr>
        <w:t>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the Shell Group to market risks and statements expressing management’s expectations, beliefs, estimates, forecasts, projections and assumptions.</w:t>
      </w:r>
    </w:p>
    <w:p>
      <w:pPr>
        <w:spacing w:after="0" w:line="145" w:lineRule="exact"/>
        <w:rPr>
          <w:sz w:val="20"/>
          <w:szCs w:val="20"/>
          <w:color w:val="auto"/>
        </w:rPr>
      </w:pPr>
    </w:p>
    <w:p>
      <w:pPr>
        <w:ind w:left="1480" w:right="479"/>
        <w:spacing w:after="0" w:line="248" w:lineRule="auto"/>
        <w:rPr>
          <w:sz w:val="20"/>
          <w:szCs w:val="20"/>
          <w:color w:val="auto"/>
        </w:rPr>
      </w:pPr>
      <w:r>
        <w:rPr>
          <w:rFonts w:ascii="Times New Roman" w:cs="Times New Roman" w:eastAsia="Times New Roman" w:hAnsi="Times New Roman"/>
          <w:sz w:val="14"/>
          <w:szCs w:val="14"/>
          <w:color w:val="auto"/>
        </w:rPr>
        <w:t>These forward-looking statements are identified by their use of terms and phrases such as “aim,” “ambition,” “anticipate,” “aspire,” “aspiration,” “believe,” “commit,” “commitment,” “could,” “desire,” “estimate,” “expect,” “goals,” “intend,” “may,” “milestones,” “objectives,” “outlook,” “plan,” “probably,” “project,” “risks,” “schedule,” “seek,” “should,” “target,” “vision,” “will,” “would” and similar terms and phrases. There are a number of factors that could affect the future operations of the Shell Group and could cause those results to differ materially from those expressed in the forward-looking statements included or incorporated by reference in this prospectus, including (without limitation):</w:t>
      </w:r>
    </w:p>
    <w:p>
      <w:pPr>
        <w:spacing w:after="0" w:line="168" w:lineRule="exact"/>
        <w:rPr>
          <w:sz w:val="20"/>
          <w:szCs w:val="20"/>
          <w:color w:val="auto"/>
        </w:rPr>
      </w:pPr>
    </w:p>
    <w:p>
      <w:pPr>
        <w:ind w:left="2220" w:hanging="331"/>
        <w:spacing w:after="0"/>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fluctuations in crude oil and natural gas;</w:t>
      </w:r>
    </w:p>
    <w:p>
      <w:pPr>
        <w:spacing w:after="0" w:line="11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78"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hanging="331"/>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demand for the Shell Group’s products;</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fluctuations;</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drilling and production results;</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reserves estimates;</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market share and industry competition;</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and physical risks, including climate change;</w:t>
      </w:r>
    </w:p>
    <w:p>
      <w:pPr>
        <w:spacing w:after="0" w:line="185" w:lineRule="exact"/>
        <w:rPr>
          <w:rFonts w:ascii="Times New Roman" w:cs="Times New Roman" w:eastAsia="Times New Roman" w:hAnsi="Times New Roman"/>
          <w:sz w:val="14"/>
          <w:szCs w:val="14"/>
          <w:color w:val="auto"/>
        </w:rPr>
      </w:pPr>
    </w:p>
    <w:p>
      <w:pPr>
        <w:ind w:left="2220" w:right="379" w:hanging="331"/>
        <w:spacing w:after="0" w:line="264" w:lineRule="auto"/>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the identification of suitable potential acquisition properties and targets, and successful negotiation and completion of such transactions;</w:t>
      </w:r>
    </w:p>
    <w:p>
      <w:pPr>
        <w:spacing w:after="0" w:line="15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of doing business in developing countries and countries subject to international sanctions;</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legislative, judicial, fiscal and regulatory developments including tariffs and regulatory measures addressing climate change;</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and financial market conditions in various countries and regions;</w:t>
      </w:r>
    </w:p>
    <w:p>
      <w:pPr>
        <w:spacing w:after="0" w:line="185" w:lineRule="exact"/>
        <w:rPr>
          <w:rFonts w:ascii="Times New Roman" w:cs="Times New Roman" w:eastAsia="Times New Roman" w:hAnsi="Times New Roman"/>
          <w:sz w:val="14"/>
          <w:szCs w:val="14"/>
          <w:color w:val="auto"/>
        </w:rPr>
      </w:pPr>
    </w:p>
    <w:p>
      <w:pPr>
        <w:ind w:left="2220" w:right="839" w:hanging="331"/>
        <w:spacing w:after="0" w:line="264" w:lineRule="auto"/>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risks, including the risks of expropriation and renegotiation of the terms of contracts with governmental entities, delays or advancements in the approval of projects and delays in the reimbursement for shared costs;</w:t>
      </w:r>
    </w:p>
    <w:p>
      <w:pPr>
        <w:spacing w:after="0" w:line="155" w:lineRule="exact"/>
        <w:rPr>
          <w:rFonts w:ascii="Times New Roman" w:cs="Times New Roman" w:eastAsia="Times New Roman" w:hAnsi="Times New Roman"/>
          <w:sz w:val="14"/>
          <w:szCs w:val="14"/>
          <w:color w:val="auto"/>
        </w:rPr>
      </w:pPr>
    </w:p>
    <w:p>
      <w:pPr>
        <w:ind w:left="2220" w:right="439" w:hanging="331"/>
        <w:spacing w:after="0" w:line="264" w:lineRule="auto"/>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the impact of pandemics, regional conflicts, such as the Russia-Ukraine war, and the conflict in the Middle East, and a significant cyber security, data privacy or IT incident;</w:t>
      </w:r>
    </w:p>
    <w:p>
      <w:pPr>
        <w:spacing w:after="0" w:line="15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pace of the energy transition; and</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trading conditions.</w:t>
      </w:r>
    </w:p>
    <w:p>
      <w:pPr>
        <w:spacing w:after="0" w:line="166" w:lineRule="exact"/>
        <w:rPr>
          <w:sz w:val="20"/>
          <w:szCs w:val="20"/>
          <w:color w:val="auto"/>
        </w:rPr>
      </w:pPr>
    </w:p>
    <w:p>
      <w:pPr>
        <w:ind w:left="1480" w:right="359"/>
        <w:spacing w:after="0" w:line="246" w:lineRule="auto"/>
        <w:rPr>
          <w:sz w:val="20"/>
          <w:szCs w:val="20"/>
          <w:color w:val="auto"/>
        </w:rPr>
      </w:pPr>
      <w:r>
        <w:rPr>
          <w:rFonts w:ascii="Times New Roman" w:cs="Times New Roman" w:eastAsia="Times New Roman" w:hAnsi="Times New Roman"/>
          <w:sz w:val="14"/>
          <w:szCs w:val="14"/>
          <w:color w:val="auto"/>
        </w:rPr>
        <w:t>Also see “Risk Factors” in the Form 2025 20-F for additional risks and further discussion. No assurance is provided that future dividend payments will match or exceed previous dividend payments. All forward-looking statements contained or incorporated by reference in this prospectus are expressly qualified in their entirety by the cautionary statements contained or referred to in this section. You should not place undue reliance on forward-looking statements. Each forward-looking statement speaks only as of the date of the particular statement. Neither Shell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or incorporated by reference in this prospectus.</w:t>
      </w:r>
    </w:p>
    <w:p>
      <w:pPr>
        <w:spacing w:after="0" w:line="1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10159"/>
          </w:cols>
          <w:pgMar w:left="300" w:top="37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66" w:lineRule="exact"/>
        <w:rPr>
          <w:sz w:val="20"/>
          <w:szCs w:val="20"/>
          <w:color w:val="auto"/>
        </w:rPr>
      </w:pPr>
    </w:p>
    <w:p>
      <w:pPr>
        <w:ind w:left="1480" w:right="459"/>
        <w:spacing w:after="0" w:line="248" w:lineRule="auto"/>
        <w:rPr>
          <w:sz w:val="20"/>
          <w:szCs w:val="20"/>
          <w:color w:val="auto"/>
        </w:rPr>
      </w:pPr>
      <w:r>
        <w:rPr>
          <w:rFonts w:ascii="Times New Roman" w:cs="Times New Roman" w:eastAsia="Times New Roman" w:hAnsi="Times New Roman"/>
          <w:sz w:val="14"/>
          <w:szCs w:val="14"/>
          <w:color w:val="auto"/>
        </w:rPr>
        <w:t>Shell is subject to the information and periodic reporting requirements of the U.S. Securities Exchange Act of 1934, as amended (the “</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and, in accordance with those requirements, files annual reports and other information with the SEC. However, as a foreign private issuer, Shell and its shareholders are exempt from some of the Exchange Act reporting requirements. The reporting requirements that do not apply to Shell or its shareholders include proxy solicitations rules, the beneficial ownership and transaction disclosure rules of Section 16 of the Exchange Act with respect to Shell’s shares and the rules regarding the furnishing of quarterly reports to the SEC, which are required to be furnished only if required or otherwise provided in our home country domicile.</w:t>
      </w:r>
    </w:p>
    <w:p>
      <w:pPr>
        <w:spacing w:after="0" w:line="149" w:lineRule="exact"/>
        <w:rPr>
          <w:sz w:val="20"/>
          <w:szCs w:val="20"/>
          <w:color w:val="auto"/>
        </w:rPr>
      </w:pPr>
    </w:p>
    <w:p>
      <w:pPr>
        <w:ind w:left="1480" w:right="419"/>
        <w:spacing w:after="0" w:line="264" w:lineRule="auto"/>
        <w:rPr>
          <w:sz w:val="20"/>
          <w:szCs w:val="20"/>
          <w:color w:val="auto"/>
        </w:rPr>
      </w:pPr>
      <w:r>
        <w:rPr>
          <w:rFonts w:ascii="Times New Roman" w:cs="Times New Roman" w:eastAsia="Times New Roman" w:hAnsi="Times New Roman"/>
          <w:sz w:val="14"/>
          <w:szCs w:val="14"/>
          <w:color w:val="auto"/>
        </w:rPr>
        <w:t>All filings made by Shell and its predecessors after December 15, 2002 are available online through the SEC’s EDGAR electronic filing system. Access to EDGAR can be found on the SEC’s website, at http://www.sec.gov.</w:t>
      </w:r>
    </w:p>
    <w:p>
      <w:pPr>
        <w:spacing w:after="0" w:line="136" w:lineRule="exact"/>
        <w:rPr>
          <w:sz w:val="20"/>
          <w:szCs w:val="20"/>
          <w:color w:val="auto"/>
        </w:rPr>
      </w:pPr>
    </w:p>
    <w:p>
      <w:pPr>
        <w:ind w:left="1480" w:right="459"/>
        <w:spacing w:after="0" w:line="253"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This means that we can disclose important information to you by referring you to other documents filed separately with the SEC. The information incorporated by reference is considered to be a part of this prospectus, except for any information that is superseded by information that is included directly in this prospectus.</w:t>
      </w:r>
    </w:p>
    <w:p>
      <w:pPr>
        <w:spacing w:after="0" w:line="1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information that we incorporate by reference is an important part of this prospectus. We incorporate by reference the following documents:</w:t>
      </w:r>
    </w:p>
    <w:p>
      <w:pPr>
        <w:spacing w:after="0" w:line="186" w:lineRule="exact"/>
        <w:rPr>
          <w:sz w:val="20"/>
          <w:szCs w:val="20"/>
          <w:color w:val="auto"/>
        </w:rPr>
      </w:pPr>
    </w:p>
    <w:p>
      <w:pPr>
        <w:ind w:left="2220" w:right="819" w:hanging="331"/>
        <w:spacing w:after="0" w:line="264" w:lineRule="auto"/>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Report on Form 20-F of Shell for the fiscal year ended December 31, 2025, as filed with the SEC on March 12, 2026, (File No. 001-32575) (“2025 20-F”);</w:t>
      </w:r>
    </w:p>
    <w:p>
      <w:pPr>
        <w:spacing w:after="0" w:line="155" w:lineRule="exact"/>
        <w:rPr>
          <w:rFonts w:ascii="Times New Roman" w:cs="Times New Roman" w:eastAsia="Times New Roman" w:hAnsi="Times New Roman"/>
          <w:sz w:val="14"/>
          <w:szCs w:val="14"/>
          <w:color w:val="auto"/>
        </w:rPr>
      </w:pPr>
    </w:p>
    <w:p>
      <w:pPr>
        <w:ind w:left="2220" w:right="519" w:hanging="331"/>
        <w:spacing w:after="0" w:line="264" w:lineRule="auto"/>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on Form 6-K of Shell furnished to the SEC on May 7, 2026, containing the unaudited condensed interim financial report of Shell and its consolidated subsidiaries for the three-month period ended March 31, 2026 (File No. 001-001-32575); and</w:t>
      </w:r>
    </w:p>
    <w:p>
      <w:pPr>
        <w:spacing w:after="0" w:line="155" w:lineRule="exact"/>
        <w:rPr>
          <w:rFonts w:ascii="Times New Roman" w:cs="Times New Roman" w:eastAsia="Times New Roman" w:hAnsi="Times New Roman"/>
          <w:sz w:val="14"/>
          <w:szCs w:val="14"/>
          <w:color w:val="auto"/>
        </w:rPr>
      </w:pPr>
    </w:p>
    <w:p>
      <w:pPr>
        <w:ind w:left="2220" w:right="359" w:hanging="331"/>
        <w:spacing w:after="0" w:line="248" w:lineRule="auto"/>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Reports on Form 6-K of Shell furnished to the SEC on January 2, 2026, January 8, 2026, February 2, 2026, February 5, 2026 (both Reports on Form 6-K furnished on such date), February 6, 2026, February 11, 2026, February 27, 2026, March 3, 2026, March 19, 2026, April 1, 2026 (both Reports on Form 6-K furnished on such date), April 8, 2026 (both Reports on Form 6-K furnished on such date), April 14, 2026, April 27, 2026, May 1, 2026, May 7, 2026 (the second Report on Form 6-K furnished on such date), May 11, 2026, May 20, 2026 and May 21, 2026.</w:t>
      </w:r>
    </w:p>
    <w:p>
      <w:pPr>
        <w:spacing w:after="0" w:line="148" w:lineRule="exact"/>
        <w:rPr>
          <w:sz w:val="20"/>
          <w:szCs w:val="20"/>
          <w:color w:val="auto"/>
        </w:rPr>
      </w:pPr>
    </w:p>
    <w:p>
      <w:pPr>
        <w:ind w:left="1480" w:right="459"/>
        <w:spacing w:after="0" w:line="316" w:lineRule="auto"/>
        <w:rPr>
          <w:sz w:val="20"/>
          <w:szCs w:val="20"/>
          <w:color w:val="auto"/>
        </w:rPr>
      </w:pPr>
      <w:r>
        <w:rPr>
          <w:rFonts w:ascii="Times New Roman" w:cs="Times New Roman" w:eastAsia="Times New Roman" w:hAnsi="Times New Roman"/>
          <w:sz w:val="12"/>
          <w:szCs w:val="12"/>
          <w:color w:val="auto"/>
        </w:rPr>
        <w:t>We also incorporate by reference any future filings that we make with the SEC under Section 13(a), 13(c) or 15(d) of the Exchange Act until we complete the Exchange Offers. Our reports on Form 6-K furnished to the SEC after the date of this prospectus (or portions thereof) are incorporated by reference in this prospectus only to the extent that the forms expressly state that we incorporate them (or such portions) by reference in this prospectus.</w:t>
      </w:r>
    </w:p>
    <w:p>
      <w:pPr>
        <w:spacing w:after="0" w:line="108" w:lineRule="exact"/>
        <w:rPr>
          <w:sz w:val="20"/>
          <w:szCs w:val="20"/>
          <w:color w:val="auto"/>
        </w:rPr>
      </w:pPr>
    </w:p>
    <w:p>
      <w:pPr>
        <w:ind w:left="1480" w:right="659"/>
        <w:spacing w:after="0" w:line="253" w:lineRule="auto"/>
        <w:rPr>
          <w:sz w:val="20"/>
          <w:szCs w:val="20"/>
          <w:color w:val="auto"/>
        </w:rPr>
      </w:pPr>
      <w:r>
        <w:rPr>
          <w:rFonts w:ascii="Times New Roman" w:cs="Times New Roman" w:eastAsia="Times New Roman" w:hAnsi="Times New Roman"/>
          <w:sz w:val="14"/>
          <w:szCs w:val="14"/>
          <w:color w:val="auto"/>
        </w:rPr>
        <w:t>Information that we file with the SEC will automatically update and supersede information in documents filed with the SEC at earlier dates. All information appearing in this prospectus is qualified in its entirety by the information and financial statements, including the notes, contained in the documents that we incorporate by reference in this prospectus.</w:t>
      </w:r>
    </w:p>
    <w:p>
      <w:pPr>
        <w:spacing w:after="0" w:line="144" w:lineRule="exact"/>
        <w:rPr>
          <w:sz w:val="20"/>
          <w:szCs w:val="20"/>
          <w:color w:val="auto"/>
        </w:rPr>
      </w:pPr>
    </w:p>
    <w:p>
      <w:pPr>
        <w:ind w:left="1480" w:right="419"/>
        <w:spacing w:after="0" w:line="300" w:lineRule="auto"/>
        <w:rPr>
          <w:sz w:val="20"/>
          <w:szCs w:val="20"/>
          <w:color w:val="auto"/>
        </w:rPr>
      </w:pPr>
      <w:r>
        <w:rPr>
          <w:rFonts w:ascii="Times New Roman" w:cs="Times New Roman" w:eastAsia="Times New Roman" w:hAnsi="Times New Roman"/>
          <w:sz w:val="12"/>
          <w:szCs w:val="12"/>
          <w:color w:val="auto"/>
        </w:rPr>
        <w:t>We have filed a registration statement on Form F-4 with the SEC under the Securities Act. This prospectus, which is a part of the registration statement, does not contain all the information contained in the registration statement; certain items are contained in exhibits to the registration statement, as permitted by the rules and regulations of the SEC. Statements that we make in this prospectus about the content of any contract, agreement or other document are not necessarily complete. With respect to each document filed as an exhibit to the registration statement, we refer you to the exhibit for a more complete description of the matter involved, and each statement that we make is qualified in its entirety by reference to such exhibits.</w:t>
      </w:r>
    </w:p>
    <w:p>
      <w:pPr>
        <w:spacing w:after="0" w:line="6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10159"/>
          </w:cols>
          <w:pgMar w:left="300" w:top="378"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679"/>
        <w:spacing w:after="0" w:line="250" w:lineRule="auto"/>
        <w:rPr>
          <w:sz w:val="20"/>
          <w:szCs w:val="20"/>
          <w:color w:val="auto"/>
        </w:rPr>
      </w:pPr>
      <w:r>
        <w:rPr>
          <w:rFonts w:ascii="Times New Roman" w:cs="Times New Roman" w:eastAsia="Times New Roman" w:hAnsi="Times New Roman"/>
          <w:sz w:val="14"/>
          <w:szCs w:val="14"/>
          <w:color w:val="auto"/>
        </w:rPr>
        <w:t>In particular, the contracts, agreements or other documents included as exhibits to the registration statement or incorporated by reference herein are intended to provide you with information regarding their terms and not to provide any other factual or disclosure information about us or the other parties to the documents. The documents may contain representations and warranties by each of the parties to the applicable document. These representations and warranties have been made solely for the benefit of the other parties to the applicable document and:</w:t>
      </w:r>
    </w:p>
    <w:p>
      <w:pPr>
        <w:spacing w:after="0" w:line="166" w:lineRule="exact"/>
        <w:rPr>
          <w:sz w:val="20"/>
          <w:szCs w:val="20"/>
          <w:color w:val="auto"/>
        </w:rPr>
      </w:pPr>
    </w:p>
    <w:p>
      <w:pPr>
        <w:ind w:left="2220" w:right="399" w:hanging="331"/>
        <w:spacing w:after="0" w:line="264" w:lineRule="auto"/>
        <w:tabs>
          <w:tab w:leader="none" w:pos="2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should not in all instances be treated as categorical statements of fact, but rather as a way of allocating the risk to one of the parties if those statements prove to be inaccurate;</w:t>
      </w:r>
    </w:p>
    <w:p>
      <w:pPr>
        <w:spacing w:after="0" w:line="155" w:lineRule="exact"/>
        <w:rPr>
          <w:rFonts w:ascii="Times New Roman" w:cs="Times New Roman" w:eastAsia="Times New Roman" w:hAnsi="Times New Roman"/>
          <w:sz w:val="14"/>
          <w:szCs w:val="14"/>
          <w:color w:val="auto"/>
        </w:rPr>
      </w:pPr>
    </w:p>
    <w:p>
      <w:pPr>
        <w:ind w:left="2220" w:right="439" w:hanging="331"/>
        <w:spacing w:after="0" w:line="264" w:lineRule="auto"/>
        <w:tabs>
          <w:tab w:leader="none" w:pos="2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been qualified by disclosures that were made to the other party in connection with the negotiation of the applicable document, which disclosures are not necessarily reflected in the document;</w:t>
      </w:r>
    </w:p>
    <w:p>
      <w:pPr>
        <w:spacing w:after="0" w:line="15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apply standards of materiality in a way that is different from what may be viewed as material to you or other investors; and</w:t>
      </w:r>
    </w:p>
    <w:p>
      <w:pPr>
        <w:spacing w:after="0" w:line="185" w:lineRule="exact"/>
        <w:rPr>
          <w:rFonts w:ascii="Times New Roman" w:cs="Times New Roman" w:eastAsia="Times New Roman" w:hAnsi="Times New Roman"/>
          <w:sz w:val="14"/>
          <w:szCs w:val="14"/>
          <w:color w:val="auto"/>
        </w:rPr>
      </w:pPr>
    </w:p>
    <w:p>
      <w:pPr>
        <w:ind w:left="2220" w:right="479" w:hanging="331"/>
        <w:spacing w:after="0" w:line="264" w:lineRule="auto"/>
        <w:tabs>
          <w:tab w:leader="none" w:pos="2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were made only as of the date of the applicable document or such other date or dates as may be specified in the document and are subject to more recent developments.</w:t>
      </w:r>
    </w:p>
    <w:p>
      <w:pPr>
        <w:spacing w:after="0" w:line="136" w:lineRule="exact"/>
        <w:rPr>
          <w:sz w:val="20"/>
          <w:szCs w:val="20"/>
          <w:color w:val="auto"/>
        </w:rPr>
      </w:pPr>
    </w:p>
    <w:p>
      <w:pPr>
        <w:jc w:val="both"/>
        <w:ind w:left="1480" w:right="559"/>
        <w:spacing w:after="0" w:line="253" w:lineRule="auto"/>
        <w:rPr>
          <w:sz w:val="20"/>
          <w:szCs w:val="20"/>
          <w:color w:val="auto"/>
        </w:rPr>
      </w:pPr>
      <w:r>
        <w:rPr>
          <w:rFonts w:ascii="Times New Roman" w:cs="Times New Roman" w:eastAsia="Times New Roman" w:hAnsi="Times New Roman"/>
          <w:sz w:val="14"/>
          <w:szCs w:val="14"/>
          <w:color w:val="auto"/>
        </w:rPr>
        <w:t>You can obtain any of the documents incorporated by reference in this prospectus through us, or from the SEC. Documents incorporated by reference are available from us without charge, excluding all exhibits unless an exhibit has been specifically incorporated by reference into this prospectus, by requesting them in writing or by telephone from us at the following address and telephone number:</w:t>
      </w:r>
    </w:p>
    <w:p>
      <w:pPr>
        <w:spacing w:after="0" w:line="1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Shell plc</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Shell Centre</w:t>
      </w:r>
    </w:p>
    <w:p>
      <w:pPr>
        <w:spacing w:after="0" w:line="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London, SE1 7NA</w:t>
      </w:r>
    </w:p>
    <w:p>
      <w:pPr>
        <w:spacing w:after="0" w:line="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United Kingdom</w:t>
      </w:r>
    </w:p>
    <w:p>
      <w:pPr>
        <w:spacing w:after="0" w:line="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Tel. No.: +44 20 7934 1234</w:t>
      </w:r>
    </w:p>
    <w:p>
      <w:pPr>
        <w:spacing w:after="0" w:line="154" w:lineRule="exact"/>
        <w:rPr>
          <w:sz w:val="20"/>
          <w:szCs w:val="20"/>
          <w:color w:val="auto"/>
        </w:rPr>
      </w:pPr>
    </w:p>
    <w:p>
      <w:pPr>
        <w:ind w:left="1480" w:right="399"/>
        <w:spacing w:after="0" w:line="250" w:lineRule="auto"/>
        <w:rPr>
          <w:sz w:val="20"/>
          <w:szCs w:val="20"/>
          <w:color w:val="auto"/>
        </w:rPr>
      </w:pPr>
      <w:r>
        <w:rPr>
          <w:rFonts w:ascii="Times New Roman" w:cs="Times New Roman" w:eastAsia="Times New Roman" w:hAnsi="Times New Roman"/>
          <w:sz w:val="14"/>
          <w:szCs w:val="14"/>
          <w:color w:val="auto"/>
        </w:rPr>
        <w:t>Shell’s ordinary shares are admitted to the Official List of the U.K. Financial Conduct Authority and to trading on the market for listed securities of the London Stock Exchange and listed on Euronext Amsterdam. Shell’s ordinary shares are admitted for trading in the form of American Depositary Shares on the New York Stock Exchange. You can consult reports and other information about Shell that it files or makes public pursuant to the rules of the London Stock Exchange, Euronext Amsterdam and the New York Stock Exchange at such exchanges.</w:t>
      </w:r>
    </w:p>
    <w:p>
      <w:pPr>
        <w:spacing w:after="0" w:line="145" w:lineRule="exact"/>
        <w:rPr>
          <w:sz w:val="20"/>
          <w:szCs w:val="20"/>
          <w:color w:val="auto"/>
        </w:rPr>
      </w:pPr>
    </w:p>
    <w:p>
      <w:pPr>
        <w:ind w:left="1480" w:right="459"/>
        <w:spacing w:after="0" w:line="264" w:lineRule="auto"/>
        <w:rPr>
          <w:sz w:val="20"/>
          <w:szCs w:val="20"/>
          <w:color w:val="auto"/>
        </w:rPr>
      </w:pPr>
      <w:r>
        <w:rPr>
          <w:rFonts w:ascii="Times New Roman" w:cs="Times New Roman" w:eastAsia="Times New Roman" w:hAnsi="Times New Roman"/>
          <w:sz w:val="14"/>
          <w:szCs w:val="14"/>
          <w:color w:val="auto"/>
        </w:rPr>
        <w:t>Additional information regarding Shell and the Shell Group may be obtained on its website at www.shell.com. Such information is not incorporated by reference into this prospectus.</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To receive timely delivery of the documents prior to the Expiration Time, you should make your request no later than          , 2026.</w:t>
      </w:r>
    </w:p>
    <w:p>
      <w:pPr>
        <w:spacing w:after="0" w:line="1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ENFORCEABILITY OF CERTAIN CIVIL LIABILITIES</w:t>
      </w:r>
    </w:p>
    <w:p>
      <w:pPr>
        <w:spacing w:after="0" w:line="170" w:lineRule="exact"/>
        <w:rPr>
          <w:sz w:val="20"/>
          <w:szCs w:val="20"/>
          <w:color w:val="auto"/>
        </w:rPr>
      </w:pPr>
    </w:p>
    <w:p>
      <w:pPr>
        <w:ind w:left="1480" w:right="359"/>
        <w:spacing w:after="0" w:line="250" w:lineRule="auto"/>
        <w:rPr>
          <w:sz w:val="20"/>
          <w:szCs w:val="20"/>
          <w:color w:val="auto"/>
        </w:rPr>
      </w:pPr>
      <w:r>
        <w:rPr>
          <w:rFonts w:ascii="Times New Roman" w:cs="Times New Roman" w:eastAsia="Times New Roman" w:hAnsi="Times New Roman"/>
          <w:sz w:val="14"/>
          <w:szCs w:val="14"/>
          <w:color w:val="auto"/>
        </w:rPr>
        <w:t>Shell is a public limited company incorporated under the laws of England and Wales. A majority of Shell’s directors and officers and some of the experts named in this document reside outside of the U.S. and a majority of our assets are located outside of the U.S. As a result, it may not be possible for investors to effect service of process within the U.S. upon us or these persons or to enforce against us or them, in either the U.S. or the U.K., judgments of U.S. courts predicated upon the civil liability provisions of the U.S. federal or state securities laws.</w:t>
      </w:r>
    </w:p>
    <w:p>
      <w:pPr>
        <w:spacing w:after="0" w:line="145" w:lineRule="exact"/>
        <w:rPr>
          <w:sz w:val="20"/>
          <w:szCs w:val="20"/>
          <w:color w:val="auto"/>
        </w:rPr>
      </w:pPr>
    </w:p>
    <w:p>
      <w:pPr>
        <w:jc w:val="both"/>
        <w:ind w:left="1480" w:right="499"/>
        <w:spacing w:after="0" w:line="253" w:lineRule="auto"/>
        <w:rPr>
          <w:sz w:val="20"/>
          <w:szCs w:val="20"/>
          <w:color w:val="auto"/>
        </w:rPr>
      </w:pPr>
      <w:r>
        <w:rPr>
          <w:rFonts w:ascii="Times New Roman" w:cs="Times New Roman" w:eastAsia="Times New Roman" w:hAnsi="Times New Roman"/>
          <w:sz w:val="14"/>
          <w:szCs w:val="14"/>
          <w:color w:val="auto"/>
        </w:rPr>
        <w:t>The following discussion with respect to the enforceability of certain U.S. court judgments in England and Wales assumes a judgment is rendered in a U.S. court and is based upon advice provided to us by our English solicitors, Slaughter and May. The U.S. and the U.K. do not have a treaty providing for the reciprocal recognition and</w:t>
      </w:r>
    </w:p>
    <w:p>
      <w:pPr>
        <w:spacing w:after="0" w:line="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v</w:t>
      </w:r>
    </w:p>
    <w:p>
      <w:pPr>
        <w:sectPr>
          <w:pgSz w:w="11900" w:h="16838" w:orient="portrait"/>
          <w:cols w:equalWidth="0" w:num="1">
            <w:col w:w="10159"/>
          </w:cols>
          <w:pgMar w:left="300" w:top="37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479"/>
        <w:spacing w:after="0" w:line="246" w:lineRule="auto"/>
        <w:rPr>
          <w:sz w:val="20"/>
          <w:szCs w:val="20"/>
          <w:color w:val="auto"/>
        </w:rPr>
      </w:pPr>
      <w:r>
        <w:rPr>
          <w:rFonts w:ascii="Times New Roman" w:cs="Times New Roman" w:eastAsia="Times New Roman" w:hAnsi="Times New Roman"/>
          <w:sz w:val="14"/>
          <w:szCs w:val="14"/>
          <w:color w:val="auto"/>
        </w:rPr>
        <w:t>enforcement of judgments in civil and commercial matters (although the U.S. and the U.K. are both parties to the 1958 Convention on the Recognition and Enforcement of Foreign Arbitral Awards). Any judgment rendered by any federal or state court in the U.S. based on civil liability, whether or not predicated solely upon U.S. federal securities law, would not be directly enforceable in England and Wales. In order to enforce any such judgment in England and Wales, proceedings must be initiated by way of fresh legal proceedings in respect of the judgment debt before a court of competent jurisdiction in England and Wales. In this type of action, an English court generally will not (subject to the matters identified below) reinvestigate the merits of the original matter decided by a U.S. court and will treat the judgment as conclusive. The matters which would cause an English court not to enforce a judgment debt created by a U.S. judgment are that:</w:t>
      </w:r>
    </w:p>
    <w:p>
      <w:pPr>
        <w:spacing w:after="0" w:line="171" w:lineRule="exact"/>
        <w:rPr>
          <w:sz w:val="20"/>
          <w:szCs w:val="20"/>
          <w:color w:val="auto"/>
        </w:rPr>
      </w:pPr>
    </w:p>
    <w:p>
      <w:pPr>
        <w:ind w:left="2220" w:hanging="331"/>
        <w:spacing w:after="0"/>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relevant U.S. court did not have jurisdiction under English rules of private international law to give the judgment;</w:t>
      </w:r>
    </w:p>
    <w:p>
      <w:pPr>
        <w:spacing w:after="0" w:line="185" w:lineRule="exact"/>
        <w:rPr>
          <w:rFonts w:ascii="Times New Roman" w:cs="Times New Roman" w:eastAsia="Times New Roman" w:hAnsi="Times New Roman"/>
          <w:sz w:val="14"/>
          <w:szCs w:val="14"/>
          <w:color w:val="auto"/>
        </w:rPr>
      </w:pPr>
    </w:p>
    <w:p>
      <w:pPr>
        <w:ind w:left="2220" w:right="419" w:hanging="331"/>
        <w:spacing w:after="0" w:line="246" w:lineRule="auto"/>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judgment was not final and conclusive on the merits. A foreign judgment which could be abrogated or varied by the court which pronounced it is not a final judgment. However, a judgment will be treated as final and conclusive even though it is subject to an appeal or if an appeal is actually pending (provided it remains enforceable in the relevant foreign jurisdiction), although in such a case a stay of execution in England and Wales may be ordered pending such an appeal. The foreign judgment will be treated as non-final and thus non-enforceable in England and Wales if execution in the foreign jurisdiction is stayed pending appeal. If the judgment is given by a court of a law district forming part of a larger federal system such as in the U.S., the finality and conclusiveness of the judgment in the law district where it was given alone are relevant in England and Wales. Its finality and conclusiveness in other parts of the federal system are irrelevant;</w:t>
      </w:r>
    </w:p>
    <w:p>
      <w:pPr>
        <w:spacing w:after="0" w:line="169" w:lineRule="exact"/>
        <w:rPr>
          <w:rFonts w:ascii="Times New Roman" w:cs="Times New Roman" w:eastAsia="Times New Roman" w:hAnsi="Times New Roman"/>
          <w:sz w:val="14"/>
          <w:szCs w:val="14"/>
          <w:color w:val="auto"/>
        </w:rPr>
      </w:pPr>
    </w:p>
    <w:p>
      <w:pPr>
        <w:ind w:left="2220" w:right="439" w:hanging="331"/>
        <w:spacing w:after="0" w:line="348" w:lineRule="auto"/>
        <w:tabs>
          <w:tab w:leader="none" w:pos="22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judgment is not for a definite sum of money or is for a sum payable in respect of taxes or other charges of a like nature or in respect of a fine or other penalty or otherwise based on a U.S. law that an English court considers to be a penal, revenue or other public law;</w:t>
      </w:r>
    </w:p>
    <w:p>
      <w:pPr>
        <w:spacing w:after="0" w:line="109" w:lineRule="exact"/>
        <w:rPr>
          <w:rFonts w:ascii="Times New Roman" w:cs="Times New Roman" w:eastAsia="Times New Roman" w:hAnsi="Times New Roman"/>
          <w:sz w:val="12"/>
          <w:szCs w:val="12"/>
          <w:color w:val="auto"/>
        </w:rPr>
      </w:pPr>
    </w:p>
    <w:p>
      <w:pPr>
        <w:ind w:left="2220" w:hanging="331"/>
        <w:spacing w:after="0"/>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enforcement of such judgment would contravene public policy in England and Wales;</w:t>
      </w:r>
    </w:p>
    <w:p>
      <w:pPr>
        <w:spacing w:after="0" w:line="185" w:lineRule="exact"/>
        <w:rPr>
          <w:rFonts w:ascii="Times New Roman" w:cs="Times New Roman" w:eastAsia="Times New Roman" w:hAnsi="Times New Roman"/>
          <w:sz w:val="14"/>
          <w:szCs w:val="14"/>
          <w:color w:val="auto"/>
        </w:rPr>
      </w:pPr>
    </w:p>
    <w:p>
      <w:pPr>
        <w:ind w:left="2220" w:right="379" w:hanging="331"/>
        <w:spacing w:after="0" w:line="305" w:lineRule="auto"/>
        <w:tabs>
          <w:tab w:leader="none" w:pos="22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enforcement of the judgment is prohibited by statute (for example, section 5 of the U.K. Protection of Trading Interests Act 1980 prohibits the enforcement of foreign judgments for multiple damages and other foreign judgments specified by statutory instrument concerned with restrictive trade practices. A judgment for multiple damages is defined as a judgment for an amount arrived at by doubling, trebling or otherwise multiplying a sum assessed as compensation for the loss or damage sustained by the judgment creditor);</w:t>
      </w:r>
    </w:p>
    <w:p>
      <w:pPr>
        <w:spacing w:after="0" w:line="135" w:lineRule="exact"/>
        <w:rPr>
          <w:rFonts w:ascii="Times New Roman" w:cs="Times New Roman" w:eastAsia="Times New Roman" w:hAnsi="Times New Roman"/>
          <w:sz w:val="12"/>
          <w:szCs w:val="12"/>
          <w:color w:val="auto"/>
        </w:rPr>
      </w:pPr>
    </w:p>
    <w:p>
      <w:pPr>
        <w:ind w:left="2220" w:hanging="331"/>
        <w:spacing w:after="0"/>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English proceedings were not commenced within the relevant limitation period;</w:t>
      </w:r>
    </w:p>
    <w:p>
      <w:pPr>
        <w:spacing w:after="0" w:line="185" w:lineRule="exact"/>
        <w:rPr>
          <w:rFonts w:ascii="Times New Roman" w:cs="Times New Roman" w:eastAsia="Times New Roman" w:hAnsi="Times New Roman"/>
          <w:sz w:val="14"/>
          <w:szCs w:val="14"/>
          <w:color w:val="auto"/>
        </w:rPr>
      </w:pPr>
    </w:p>
    <w:p>
      <w:pPr>
        <w:ind w:left="2220" w:right="399" w:hanging="331"/>
        <w:spacing w:after="0" w:line="264" w:lineRule="auto"/>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the date on which the U.S. court gave judgment, a judgment has been given in proceedings between the same parties or their privies in a court in the U.K. or in an overseas court which the English court will recognize;</w:t>
      </w:r>
    </w:p>
    <w:p>
      <w:pPr>
        <w:spacing w:after="0" w:line="155" w:lineRule="exact"/>
        <w:rPr>
          <w:rFonts w:ascii="Times New Roman" w:cs="Times New Roman" w:eastAsia="Times New Roman" w:hAnsi="Times New Roman"/>
          <w:sz w:val="14"/>
          <w:szCs w:val="14"/>
          <w:color w:val="auto"/>
        </w:rPr>
      </w:pPr>
    </w:p>
    <w:p>
      <w:pPr>
        <w:ind w:left="2220" w:right="679" w:hanging="331"/>
        <w:spacing w:after="0" w:line="264" w:lineRule="auto"/>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judgment has been obtained by fraud (on either the part of the party in whose favor judgment was given or on the part of the court pronouncing the judgment) or in proceedings in which the principles of natural justice were breached;</w:t>
      </w:r>
    </w:p>
    <w:p>
      <w:pPr>
        <w:spacing w:after="0" w:line="155" w:lineRule="exact"/>
        <w:rPr>
          <w:rFonts w:ascii="Times New Roman" w:cs="Times New Roman" w:eastAsia="Times New Roman" w:hAnsi="Times New Roman"/>
          <w:sz w:val="14"/>
          <w:szCs w:val="14"/>
          <w:color w:val="auto"/>
        </w:rPr>
      </w:pPr>
    </w:p>
    <w:p>
      <w:pPr>
        <w:ind w:left="2220" w:right="419" w:hanging="331"/>
        <w:spacing w:after="0" w:line="253" w:lineRule="auto"/>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bringing of proceedings in the relevant U.S. court was contrary to an agreement under which the dispute in question was to be settled otherwise than by proceedings in the U.S. courts (to whose jurisdiction the judgment debtor did not submit by counterclaim or otherwise); or</w:t>
      </w:r>
    </w:p>
    <w:p>
      <w:pPr>
        <w:spacing w:after="0" w:line="164" w:lineRule="exact"/>
        <w:rPr>
          <w:rFonts w:ascii="Times New Roman" w:cs="Times New Roman" w:eastAsia="Times New Roman" w:hAnsi="Times New Roman"/>
          <w:sz w:val="14"/>
          <w:szCs w:val="14"/>
          <w:color w:val="auto"/>
        </w:rPr>
      </w:pPr>
    </w:p>
    <w:p>
      <w:pPr>
        <w:ind w:left="2220" w:right="379" w:hanging="331"/>
        <w:spacing w:after="0" w:line="264" w:lineRule="auto"/>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order has been made and remains effective under section 9 of the U.K. Foreign Judgments (Reciprocal Enforcement) Act 1933 applying that section to U.S. courts including the relevant U.S. court.</w:t>
      </w:r>
    </w:p>
    <w:p>
      <w:pPr>
        <w:spacing w:after="0" w:line="8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vi</w:t>
      </w:r>
    </w:p>
    <w:p>
      <w:pPr>
        <w:sectPr>
          <w:pgSz w:w="11900" w:h="16838" w:orient="portrait"/>
          <w:cols w:equalWidth="0" w:num="1">
            <w:col w:w="10159"/>
          </w:cols>
          <w:pgMar w:left="300" w:top="378"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79"/>
        <w:spacing w:after="0" w:line="250" w:lineRule="auto"/>
        <w:rPr>
          <w:sz w:val="20"/>
          <w:szCs w:val="20"/>
          <w:color w:val="auto"/>
        </w:rPr>
      </w:pPr>
      <w:r>
        <w:rPr>
          <w:rFonts w:ascii="Times New Roman" w:cs="Times New Roman" w:eastAsia="Times New Roman" w:hAnsi="Times New Roman"/>
          <w:sz w:val="14"/>
          <w:szCs w:val="14"/>
          <w:color w:val="auto"/>
        </w:rPr>
        <w:t>If an English court gives judgment for the sum payable under a U.S. judgment, the English judgment will be enforceable by methods generally available for this purpose. The judgment creditor is able to utilize any method or methods of enforcement available to him/her at the time. In addition, it may not be possible to obtain an English judgment or to enforce that judgment if the judgment debtor is subject to any insolvency or similar proceedings, or if the judgment debtor has any set-off or counterclaim against the judgment creditor.</w:t>
      </w:r>
    </w:p>
    <w:p>
      <w:pPr>
        <w:spacing w:after="0" w:line="145" w:lineRule="exact"/>
        <w:rPr>
          <w:sz w:val="20"/>
          <w:szCs w:val="20"/>
          <w:color w:val="auto"/>
        </w:rPr>
      </w:pPr>
    </w:p>
    <w:p>
      <w:pPr>
        <w:ind w:left="1480" w:right="479"/>
        <w:spacing w:after="0" w:line="250" w:lineRule="auto"/>
        <w:rPr>
          <w:sz w:val="20"/>
          <w:szCs w:val="20"/>
          <w:color w:val="auto"/>
        </w:rPr>
      </w:pPr>
      <w:r>
        <w:rPr>
          <w:rFonts w:ascii="Times New Roman" w:cs="Times New Roman" w:eastAsia="Times New Roman" w:hAnsi="Times New Roman"/>
          <w:sz w:val="14"/>
          <w:szCs w:val="14"/>
          <w:color w:val="auto"/>
        </w:rPr>
        <w:t>Subject to the foregoing, investors may be able to enforce in England and Wales judgments in civil and commercial matters obtained from U.S. federal or state courts in the manner described above using the methods available for enforcement of a judgment of an English court. It is, however, uncertain whether an English court would impose liability on us or such persons in an action predicated upon the U.S. federal or state securities law brought in England and Wales.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vii</w:t>
      </w:r>
    </w:p>
    <w:p>
      <w:pPr>
        <w:sectPr>
          <w:pgSz w:w="11900" w:h="16838" w:orient="portrait"/>
          <w:cols w:equalWidth="0" w:num="1">
            <w:col w:w="10159"/>
          </w:cols>
          <w:pgMar w:left="300" w:top="37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158115</wp:posOffset>
            </wp:positionV>
            <wp:extent cx="5293360" cy="3602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93360" cy="3602355"/>
                    </a:xfrm>
                    <a:prstGeom prst="rect">
                      <a:avLst/>
                    </a:prstGeom>
                    <a:noFill/>
                  </pic:spPr>
                </pic:pic>
              </a:graphicData>
            </a:graphic>
          </wp:anchor>
        </w:drawing>
      </w:r>
    </w:p>
    <w:p>
      <w:pPr>
        <w:spacing w:after="0" w:line="3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68" w:lineRule="exact"/>
        <w:rPr>
          <w:sz w:val="20"/>
          <w:szCs w:val="20"/>
          <w:color w:val="auto"/>
        </w:rPr>
      </w:pPr>
    </w:p>
    <w:p>
      <w:pPr>
        <w:ind w:left="1620" w:right="599"/>
        <w:spacing w:after="0" w:line="251" w:lineRule="auto"/>
        <w:rPr>
          <w:sz w:val="20"/>
          <w:szCs w:val="20"/>
          <w:color w:val="auto"/>
        </w:rPr>
      </w:pPr>
      <w:r>
        <w:rPr>
          <w:rFonts w:ascii="Times New Roman" w:cs="Times New Roman" w:eastAsia="Times New Roman" w:hAnsi="Times New Roman"/>
          <w:sz w:val="14"/>
          <w:szCs w:val="14"/>
          <w:i w:val="1"/>
          <w:iCs w:val="1"/>
          <w:color w:val="auto"/>
        </w:rPr>
        <w:t>This summary provides an overview of selected information. Because this is only a summary, it may not contain all of the information that may be important to you in understanding the Exchange Offers. You should carefully read this entire prospectus, including the section entitled “Risk Factors.” Additionally, see the sections entitled “Risk Factors” in the 2025 20-F, as well as the information incorporated by reference in this prospectus. See the section of this prospectus entitled “Where You Can Find More Information.”</w:t>
      </w:r>
    </w:p>
    <w:p>
      <w:pPr>
        <w:spacing w:after="0" w:line="1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i w:val="1"/>
          <w:iCs w:val="1"/>
          <w:color w:val="auto"/>
        </w:rPr>
        <w:t>Shell plc</w:t>
      </w:r>
    </w:p>
    <w:p>
      <w:pPr>
        <w:spacing w:after="0" w:line="1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2"/>
          <w:szCs w:val="12"/>
          <w:color w:val="auto"/>
        </w:rPr>
        <w:t>Shell is the single parent company of Shell Petroleum B.V. (the legal successor of Royal Dutch) and Shell Transport. From 1907 until 2005, Royal</w:t>
      </w:r>
    </w:p>
    <w:p>
      <w:pPr>
        <w:spacing w:after="0" w:line="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2"/>
          <w:szCs w:val="12"/>
          <w:color w:val="auto"/>
        </w:rPr>
        <w:t>Dutch and Shell Transport were the public parent companies of a group of companies known collectively as the “Royal Dutch/Shell Group.” All</w:t>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2"/>
          <w:szCs w:val="12"/>
          <w:color w:val="auto"/>
        </w:rPr>
        <w:t>operating activities were conducted through the subsidiaries of Royal Dutch and Shell Transport. On July 20, 2005, Shell became the single parent</w:t>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company of Royal Dutch and Shell Transport. On December 10, 2021, the shareholders of Shell approved amendments to Shell’s Articles of</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2"/>
          <w:szCs w:val="12"/>
          <w:color w:val="auto"/>
        </w:rPr>
        <w:t>Association (the “</w:t>
      </w:r>
      <w:r>
        <w:rPr>
          <w:rFonts w:ascii="Times New Roman" w:cs="Times New Roman" w:eastAsia="Times New Roman" w:hAnsi="Times New Roman"/>
          <w:sz w:val="12"/>
          <w:szCs w:val="12"/>
          <w:b w:val="1"/>
          <w:bCs w:val="1"/>
          <w:color w:val="auto"/>
        </w:rPr>
        <w:t>Articles</w:t>
      </w:r>
      <w:r>
        <w:rPr>
          <w:rFonts w:ascii="Times New Roman" w:cs="Times New Roman" w:eastAsia="Times New Roman" w:hAnsi="Times New Roman"/>
          <w:sz w:val="12"/>
          <w:szCs w:val="12"/>
          <w:color w:val="auto"/>
        </w:rPr>
        <w:t>”), which permitted Shell to simplify its share structure through the establishment of a single line of shares and alignment</w:t>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2"/>
          <w:szCs w:val="12"/>
          <w:color w:val="auto"/>
        </w:rPr>
        <w:t>of Shell’s tax residence with its country of incorporation by relocating meetings of its Board of Directors and Executive Committee and the Chief</w:t>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Executive Officer and the Chief Financial Officer to the U.K. and granted the Board of Directors the power to change Shell’s name (the</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Simplification</w:t>
      </w:r>
      <w:r>
        <w:rPr>
          <w:rFonts w:ascii="Times New Roman" w:cs="Times New Roman" w:eastAsia="Times New Roman" w:hAnsi="Times New Roman"/>
          <w:sz w:val="14"/>
          <w:szCs w:val="14"/>
          <w:color w:val="auto"/>
        </w:rPr>
        <w:t>”). On December 20, 2021 the Board of Directors formally approved the Simplification, and on December 31, 2021 the Board</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2"/>
          <w:szCs w:val="12"/>
          <w:color w:val="auto"/>
        </w:rPr>
        <w:t>approved the key steps required to move Shell’s tax residence to the U.K. Shell’s name was changed from Royal Dutch Shell plc to Shell plc on</w:t>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January 21, 2022, and Shell’s shares were assimilated into a single line of shares on January 29, 2022. This completed the Simplification.</w:t>
      </w:r>
    </w:p>
    <w:p>
      <w:pPr>
        <w:spacing w:after="0" w:line="1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companies of the Shell Group are engaged worldwide in all the principal aspects of the oil and natural gas industry.</w:t>
      </w:r>
    </w:p>
    <w:p>
      <w:pPr>
        <w:spacing w:after="0" w:line="166" w:lineRule="exact"/>
        <w:rPr>
          <w:sz w:val="20"/>
          <w:szCs w:val="20"/>
          <w:color w:val="auto"/>
        </w:rPr>
      </w:pPr>
    </w:p>
    <w:p>
      <w:pPr>
        <w:ind w:left="1620" w:right="539"/>
        <w:spacing w:after="0" w:line="264" w:lineRule="auto"/>
        <w:rPr>
          <w:sz w:val="20"/>
          <w:szCs w:val="20"/>
          <w:color w:val="auto"/>
        </w:rPr>
      </w:pPr>
      <w:r>
        <w:rPr>
          <w:rFonts w:ascii="Times New Roman" w:cs="Times New Roman" w:eastAsia="Times New Roman" w:hAnsi="Times New Roman"/>
          <w:sz w:val="14"/>
          <w:szCs w:val="14"/>
          <w:color w:val="auto"/>
        </w:rPr>
        <w:t>You can find a more detailed description of the Shell Group’s business and recent transactions in the 2025 20-F, which is incorporated by reference into this prospectus, as well as any subsequent filings incorporated by reference into this prospectus.</w:t>
      </w:r>
    </w:p>
    <w:p>
      <w:pPr>
        <w:spacing w:after="0" w:line="1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i w:val="1"/>
          <w:iCs w:val="1"/>
          <w:color w:val="auto"/>
        </w:rPr>
        <w:t>The Issuer</w:t>
      </w:r>
    </w:p>
    <w:p>
      <w:pPr>
        <w:spacing w:after="0" w:line="170" w:lineRule="exact"/>
        <w:rPr>
          <w:sz w:val="20"/>
          <w:szCs w:val="20"/>
          <w:color w:val="auto"/>
        </w:rPr>
      </w:pPr>
    </w:p>
    <w:p>
      <w:pPr>
        <w:ind w:left="1620" w:right="499"/>
        <w:spacing w:after="0" w:line="247" w:lineRule="auto"/>
        <w:rPr>
          <w:sz w:val="20"/>
          <w:szCs w:val="20"/>
          <w:color w:val="auto"/>
        </w:rPr>
      </w:pPr>
      <w:r>
        <w:rPr>
          <w:rFonts w:ascii="Times New Roman" w:cs="Times New Roman" w:eastAsia="Times New Roman" w:hAnsi="Times New Roman"/>
          <w:sz w:val="14"/>
          <w:szCs w:val="14"/>
          <w:color w:val="auto"/>
        </w:rPr>
        <w:t>Shell Finance US was incorporated as a corporation under the laws of the State of Delaware on November 13, 2023. Shell Finance US is an indirect wholly-owned subsidiary of Shell. Shell Finance US is a financing vehicle for Shell and its consolidated subsidiaries. Shell Finance US has no independent operations, other than raising debt for use by the Shell Group, hedging such debt when appropriate and on-lending funds raised to companies in the Shell Group. Shell Finance US lends substantially all net proceeds of its borrowings to companies in the Shell Group, and is therefore dependent on such companies repaying funds lent to them. Shell will fully and unconditionally guarantee the Exchange Notes issued by Shell Finance US pursuant to this prospectus as to payment of principal, premium (if any), interest and any other amounts due.</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7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158115</wp:posOffset>
            </wp:positionV>
            <wp:extent cx="5293360" cy="4547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93360" cy="4547870"/>
                    </a:xfrm>
                    <a:prstGeom prst="rect">
                      <a:avLst/>
                    </a:prstGeom>
                    <a:noFill/>
                  </pic:spPr>
                </pic:pic>
              </a:graphicData>
            </a:graphic>
          </wp:anchor>
        </w:drawing>
      </w:r>
    </w:p>
    <w:p>
      <w:pPr>
        <w:spacing w:after="0" w:line="35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THE EXCHANGE OFFERS</w:t>
      </w:r>
    </w:p>
    <w:p>
      <w:pPr>
        <w:spacing w:after="0" w:line="168" w:lineRule="exact"/>
        <w:rPr>
          <w:sz w:val="20"/>
          <w:szCs w:val="20"/>
          <w:color w:val="auto"/>
        </w:rPr>
      </w:pPr>
    </w:p>
    <w:p>
      <w:pPr>
        <w:ind w:left="1620" w:right="699"/>
        <w:spacing w:after="0" w:line="251" w:lineRule="auto"/>
        <w:rPr>
          <w:sz w:val="20"/>
          <w:szCs w:val="20"/>
          <w:color w:val="auto"/>
        </w:rPr>
      </w:pPr>
      <w:r>
        <w:rPr>
          <w:rFonts w:ascii="Times New Roman" w:cs="Times New Roman" w:eastAsia="Times New Roman" w:hAnsi="Times New Roman"/>
          <w:sz w:val="14"/>
          <w:szCs w:val="14"/>
          <w:i w:val="1"/>
          <w:iCs w:val="1"/>
          <w:color w:val="auto"/>
        </w:rPr>
        <w:t>The following summary does not contain all the information that may be important to you and is qualified in its entirety by the more detailed information appearing elsewhere in this prospectus and the documents incorporated by reference. You should read this prospectus and the documents incorporated by reference in their entirety. For a more complete description of the terms of the Exchange Offers, see “The Exchange Offers.”</w:t>
      </w:r>
    </w:p>
    <w:p>
      <w:pPr>
        <w:spacing w:after="0" w:line="165" w:lineRule="exact"/>
        <w:rPr>
          <w:sz w:val="20"/>
          <w:szCs w:val="20"/>
          <w:color w:val="auto"/>
        </w:rPr>
      </w:pPr>
    </w:p>
    <w:tbl>
      <w:tblPr>
        <w:tblLayout w:type="fixed"/>
        <w:tblInd w:w="1480" w:type="dxa"/>
        <w:tblCellMar>
          <w:top w:w="0" w:type="dxa"/>
          <w:left w:w="0" w:type="dxa"/>
          <w:bottom w:w="0" w:type="dxa"/>
          <w:right w:w="0" w:type="dxa"/>
        </w:tblCellMar>
      </w:tblPr>
      <w:tr>
        <w:trPr>
          <w:trHeight w:val="163"/>
        </w:trPr>
        <w:tc>
          <w:tcPr>
            <w:tcW w:w="2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Background</w:t>
            </w:r>
          </w:p>
        </w:tc>
        <w:tc>
          <w:tcPr>
            <w:tcW w:w="610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On December 8, 2025, Shell Finance US and Shell completed private exchange offers to</w:t>
            </w:r>
          </w:p>
        </w:tc>
      </w:tr>
      <w:tr>
        <w:trPr>
          <w:trHeight w:val="159"/>
        </w:trPr>
        <w:tc>
          <w:tcPr>
            <w:tcW w:w="2240" w:type="dxa"/>
            <w:vAlign w:val="bottom"/>
          </w:tcPr>
          <w:p>
            <w:pPr>
              <w:spacing w:after="0"/>
              <w:rPr>
                <w:sz w:val="13"/>
                <w:szCs w:val="13"/>
                <w:color w:val="auto"/>
              </w:rPr>
            </w:pPr>
          </w:p>
        </w:tc>
        <w:tc>
          <w:tcPr>
            <w:tcW w:w="6100" w:type="dxa"/>
            <w:vAlign w:val="bottom"/>
          </w:tcPr>
          <w:p>
            <w:pPr>
              <w:ind w:left="940"/>
              <w:spacing w:after="0" w:line="159" w:lineRule="exact"/>
              <w:rPr>
                <w:sz w:val="20"/>
                <w:szCs w:val="20"/>
                <w:color w:val="auto"/>
              </w:rPr>
            </w:pPr>
            <w:r>
              <w:rPr>
                <w:rFonts w:ascii="Times New Roman" w:cs="Times New Roman" w:eastAsia="Times New Roman" w:hAnsi="Times New Roman"/>
                <w:sz w:val="14"/>
                <w:szCs w:val="14"/>
                <w:color w:val="auto"/>
              </w:rPr>
              <w:t>exchange outstanding notes of certain series of debt securities issued by Shell International</w:t>
            </w:r>
          </w:p>
        </w:tc>
      </w:tr>
      <w:tr>
        <w:trPr>
          <w:trHeight w:val="167"/>
        </w:trPr>
        <w:tc>
          <w:tcPr>
            <w:tcW w:w="2240" w:type="dxa"/>
            <w:vAlign w:val="bottom"/>
          </w:tcPr>
          <w:p>
            <w:pPr>
              <w:spacing w:after="0"/>
              <w:rPr>
                <w:sz w:val="14"/>
                <w:szCs w:val="14"/>
                <w:color w:val="auto"/>
              </w:rPr>
            </w:pPr>
          </w:p>
        </w:tc>
        <w:tc>
          <w:tcPr>
            <w:tcW w:w="610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Finance B.V. (“</w:t>
            </w:r>
            <w:r>
              <w:rPr>
                <w:rFonts w:ascii="Times New Roman" w:cs="Times New Roman" w:eastAsia="Times New Roman" w:hAnsi="Times New Roman"/>
                <w:sz w:val="14"/>
                <w:szCs w:val="14"/>
                <w:b w:val="1"/>
                <w:bCs w:val="1"/>
                <w:color w:val="auto"/>
              </w:rPr>
              <w:t>Shell International Finance</w:t>
            </w:r>
            <w:r>
              <w:rPr>
                <w:rFonts w:ascii="Times New Roman" w:cs="Times New Roman" w:eastAsia="Times New Roman" w:hAnsi="Times New Roman"/>
                <w:sz w:val="14"/>
                <w:szCs w:val="14"/>
                <w:color w:val="auto"/>
              </w:rPr>
              <w:t>”) and BG Energy Capital plc “</w:t>
            </w:r>
            <w:r>
              <w:rPr>
                <w:rFonts w:ascii="Times New Roman" w:cs="Times New Roman" w:eastAsia="Times New Roman" w:hAnsi="Times New Roman"/>
                <w:sz w:val="14"/>
                <w:szCs w:val="14"/>
                <w:b w:val="1"/>
                <w:bCs w:val="1"/>
                <w:color w:val="auto"/>
              </w:rPr>
              <w:t>BGEC</w:t>
            </w:r>
            <w:r>
              <w:rPr>
                <w:rFonts w:ascii="Times New Roman" w:cs="Times New Roman" w:eastAsia="Times New Roman" w:hAnsi="Times New Roman"/>
                <w:sz w:val="14"/>
                <w:szCs w:val="14"/>
                <w:color w:val="auto"/>
              </w:rPr>
              <w:t>”), each</w:t>
            </w:r>
          </w:p>
        </w:tc>
      </w:tr>
      <w:tr>
        <w:trPr>
          <w:trHeight w:val="163"/>
        </w:trPr>
        <w:tc>
          <w:tcPr>
            <w:tcW w:w="2240" w:type="dxa"/>
            <w:vAlign w:val="bottom"/>
          </w:tcPr>
          <w:p>
            <w:pPr>
              <w:spacing w:after="0"/>
              <w:rPr>
                <w:sz w:val="14"/>
                <w:szCs w:val="14"/>
                <w:color w:val="auto"/>
              </w:rPr>
            </w:pPr>
          </w:p>
        </w:tc>
        <w:tc>
          <w:tcPr>
            <w:tcW w:w="610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an indirect wholly-owned subsidiary of Shell, for Restricted Notes and cash. In connection</w:t>
            </w:r>
          </w:p>
        </w:tc>
      </w:tr>
      <w:tr>
        <w:trPr>
          <w:trHeight w:val="159"/>
        </w:trPr>
        <w:tc>
          <w:tcPr>
            <w:tcW w:w="2240" w:type="dxa"/>
            <w:vAlign w:val="bottom"/>
          </w:tcPr>
          <w:p>
            <w:pPr>
              <w:spacing w:after="0"/>
              <w:rPr>
                <w:sz w:val="13"/>
                <w:szCs w:val="13"/>
                <w:color w:val="auto"/>
              </w:rPr>
            </w:pPr>
          </w:p>
        </w:tc>
        <w:tc>
          <w:tcPr>
            <w:tcW w:w="6100" w:type="dxa"/>
            <w:vAlign w:val="bottom"/>
          </w:tcPr>
          <w:p>
            <w:pPr>
              <w:ind w:left="940"/>
              <w:spacing w:after="0" w:line="159" w:lineRule="exact"/>
              <w:rPr>
                <w:sz w:val="20"/>
                <w:szCs w:val="20"/>
                <w:color w:val="auto"/>
              </w:rPr>
            </w:pPr>
            <w:r>
              <w:rPr>
                <w:rFonts w:ascii="Times New Roman" w:cs="Times New Roman" w:eastAsia="Times New Roman" w:hAnsi="Times New Roman"/>
                <w:sz w:val="14"/>
                <w:szCs w:val="14"/>
                <w:color w:val="auto"/>
              </w:rPr>
              <w:t>with the prior private exchange offers, on December 8, 2025, Shell Finance US and Shell</w:t>
            </w:r>
          </w:p>
        </w:tc>
      </w:tr>
      <w:tr>
        <w:trPr>
          <w:trHeight w:val="167"/>
        </w:trPr>
        <w:tc>
          <w:tcPr>
            <w:tcW w:w="2240" w:type="dxa"/>
            <w:vAlign w:val="bottom"/>
          </w:tcPr>
          <w:p>
            <w:pPr>
              <w:spacing w:after="0"/>
              <w:rPr>
                <w:sz w:val="14"/>
                <w:szCs w:val="14"/>
                <w:color w:val="auto"/>
              </w:rPr>
            </w:pPr>
          </w:p>
        </w:tc>
        <w:tc>
          <w:tcPr>
            <w:tcW w:w="610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entered into a registration rights agreement (the “</w:t>
            </w:r>
            <w:r>
              <w:rPr>
                <w:rFonts w:ascii="Times New Roman" w:cs="Times New Roman" w:eastAsia="Times New Roman" w:hAnsi="Times New Roman"/>
                <w:sz w:val="14"/>
                <w:szCs w:val="14"/>
                <w:b w:val="1"/>
                <w:bCs w:val="1"/>
                <w:color w:val="auto"/>
              </w:rPr>
              <w:t>Registration Rights Agreement</w:t>
            </w:r>
            <w:r>
              <w:rPr>
                <w:rFonts w:ascii="Times New Roman" w:cs="Times New Roman" w:eastAsia="Times New Roman" w:hAnsi="Times New Roman"/>
                <w:sz w:val="14"/>
                <w:szCs w:val="14"/>
                <w:color w:val="auto"/>
              </w:rPr>
              <w:t>”) with</w:t>
            </w:r>
          </w:p>
        </w:tc>
      </w:tr>
      <w:tr>
        <w:trPr>
          <w:trHeight w:val="163"/>
        </w:trPr>
        <w:tc>
          <w:tcPr>
            <w:tcW w:w="2240" w:type="dxa"/>
            <w:vAlign w:val="bottom"/>
          </w:tcPr>
          <w:p>
            <w:pPr>
              <w:spacing w:after="0"/>
              <w:rPr>
                <w:sz w:val="14"/>
                <w:szCs w:val="14"/>
                <w:color w:val="auto"/>
              </w:rPr>
            </w:pPr>
          </w:p>
        </w:tc>
        <w:tc>
          <w:tcPr>
            <w:tcW w:w="610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BofA Securities, Inc., Deutsche Bank Securities Inc. and TD Securities (USA) LLC, as</w:t>
            </w:r>
          </w:p>
        </w:tc>
      </w:tr>
      <w:tr>
        <w:trPr>
          <w:trHeight w:val="163"/>
        </w:trPr>
        <w:tc>
          <w:tcPr>
            <w:tcW w:w="2240" w:type="dxa"/>
            <w:vAlign w:val="bottom"/>
          </w:tcPr>
          <w:p>
            <w:pPr>
              <w:spacing w:after="0"/>
              <w:rPr>
                <w:sz w:val="14"/>
                <w:szCs w:val="14"/>
                <w:color w:val="auto"/>
              </w:rPr>
            </w:pPr>
          </w:p>
        </w:tc>
        <w:tc>
          <w:tcPr>
            <w:tcW w:w="610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dealer managers, in which Shell Finance US and Shell agreed, among other things, to</w:t>
            </w:r>
          </w:p>
        </w:tc>
      </w:tr>
      <w:tr>
        <w:trPr>
          <w:trHeight w:val="175"/>
        </w:trPr>
        <w:tc>
          <w:tcPr>
            <w:tcW w:w="2240" w:type="dxa"/>
            <w:vAlign w:val="bottom"/>
          </w:tcPr>
          <w:p>
            <w:pPr>
              <w:spacing w:after="0"/>
              <w:rPr>
                <w:sz w:val="15"/>
                <w:szCs w:val="15"/>
                <w:color w:val="auto"/>
              </w:rPr>
            </w:pPr>
          </w:p>
        </w:tc>
        <w:tc>
          <w:tcPr>
            <w:tcW w:w="610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complete the Exchange Offers.</w:t>
            </w:r>
          </w:p>
        </w:tc>
      </w:tr>
      <w:tr>
        <w:trPr>
          <w:trHeight w:val="335"/>
        </w:trPr>
        <w:tc>
          <w:tcPr>
            <w:tcW w:w="2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Exchange Offers</w:t>
            </w:r>
          </w:p>
        </w:tc>
        <w:tc>
          <w:tcPr>
            <w:tcW w:w="610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We are offering, upon the terms and subject to the conditions set forth in this prospectus, to</w:t>
            </w:r>
          </w:p>
        </w:tc>
      </w:tr>
      <w:tr>
        <w:trPr>
          <w:trHeight w:val="175"/>
        </w:trPr>
        <w:tc>
          <w:tcPr>
            <w:tcW w:w="2240" w:type="dxa"/>
            <w:vAlign w:val="bottom"/>
          </w:tcPr>
          <w:p>
            <w:pPr>
              <w:spacing w:after="0"/>
              <w:rPr>
                <w:sz w:val="15"/>
                <w:szCs w:val="15"/>
                <w:color w:val="auto"/>
              </w:rPr>
            </w:pPr>
          </w:p>
        </w:tc>
        <w:tc>
          <w:tcPr>
            <w:tcW w:w="610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exchange:</w:t>
            </w:r>
          </w:p>
        </w:tc>
      </w:tr>
      <w:tr>
        <w:trPr>
          <w:trHeight w:val="335"/>
        </w:trPr>
        <w:tc>
          <w:tcPr>
            <w:tcW w:w="2240" w:type="dxa"/>
            <w:vAlign w:val="bottom"/>
          </w:tcPr>
          <w:p>
            <w:pPr>
              <w:spacing w:after="0"/>
              <w:rPr>
                <w:sz w:val="24"/>
                <w:szCs w:val="24"/>
                <w:color w:val="auto"/>
              </w:rPr>
            </w:pPr>
          </w:p>
        </w:tc>
        <w:tc>
          <w:tcPr>
            <w:tcW w:w="61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   the unregistered Restricted 3.875% 2028 Notes for an equivalent amount of the</w:t>
            </w:r>
          </w:p>
        </w:tc>
      </w:tr>
      <w:tr>
        <w:trPr>
          <w:trHeight w:val="175"/>
        </w:trPr>
        <w:tc>
          <w:tcPr>
            <w:tcW w:w="2240" w:type="dxa"/>
            <w:vAlign w:val="bottom"/>
          </w:tcPr>
          <w:p>
            <w:pPr>
              <w:spacing w:after="0"/>
              <w:rPr>
                <w:sz w:val="15"/>
                <w:szCs w:val="15"/>
                <w:color w:val="auto"/>
              </w:rPr>
            </w:pPr>
          </w:p>
        </w:tc>
        <w:tc>
          <w:tcPr>
            <w:tcW w:w="610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Exchange 3.875% 2028 Notes, which have been registered under the Securities Act;</w:t>
            </w:r>
          </w:p>
        </w:tc>
      </w:tr>
      <w:tr>
        <w:trPr>
          <w:trHeight w:val="335"/>
        </w:trPr>
        <w:tc>
          <w:tcPr>
            <w:tcW w:w="2240" w:type="dxa"/>
            <w:vAlign w:val="bottom"/>
          </w:tcPr>
          <w:p>
            <w:pPr>
              <w:spacing w:after="0"/>
              <w:rPr>
                <w:sz w:val="24"/>
                <w:szCs w:val="24"/>
                <w:color w:val="auto"/>
              </w:rPr>
            </w:pPr>
          </w:p>
        </w:tc>
        <w:tc>
          <w:tcPr>
            <w:tcW w:w="61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   the unregistered Restricted 6.375% 2038 Notes for an equivalent amount of the</w:t>
            </w:r>
          </w:p>
        </w:tc>
      </w:tr>
      <w:tr>
        <w:trPr>
          <w:trHeight w:val="175"/>
        </w:trPr>
        <w:tc>
          <w:tcPr>
            <w:tcW w:w="2240" w:type="dxa"/>
            <w:vAlign w:val="bottom"/>
          </w:tcPr>
          <w:p>
            <w:pPr>
              <w:spacing w:after="0"/>
              <w:rPr>
                <w:sz w:val="15"/>
                <w:szCs w:val="15"/>
                <w:color w:val="auto"/>
              </w:rPr>
            </w:pPr>
          </w:p>
        </w:tc>
        <w:tc>
          <w:tcPr>
            <w:tcW w:w="610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Exchange 6.375% 2038 Notes, which have been registered under the Securities Act;</w:t>
            </w:r>
          </w:p>
        </w:tc>
      </w:tr>
      <w:tr>
        <w:trPr>
          <w:trHeight w:val="335"/>
        </w:trPr>
        <w:tc>
          <w:tcPr>
            <w:tcW w:w="2240" w:type="dxa"/>
            <w:vAlign w:val="bottom"/>
          </w:tcPr>
          <w:p>
            <w:pPr>
              <w:spacing w:after="0"/>
              <w:rPr>
                <w:sz w:val="24"/>
                <w:szCs w:val="24"/>
                <w:color w:val="auto"/>
              </w:rPr>
            </w:pPr>
          </w:p>
        </w:tc>
        <w:tc>
          <w:tcPr>
            <w:tcW w:w="61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   the unregistered Restricted 5.500% 2040 Notes for an equivalent amount of the</w:t>
            </w:r>
          </w:p>
        </w:tc>
      </w:tr>
      <w:tr>
        <w:trPr>
          <w:trHeight w:val="175"/>
        </w:trPr>
        <w:tc>
          <w:tcPr>
            <w:tcW w:w="2240" w:type="dxa"/>
            <w:vAlign w:val="bottom"/>
          </w:tcPr>
          <w:p>
            <w:pPr>
              <w:spacing w:after="0"/>
              <w:rPr>
                <w:sz w:val="15"/>
                <w:szCs w:val="15"/>
                <w:color w:val="auto"/>
              </w:rPr>
            </w:pPr>
          </w:p>
        </w:tc>
        <w:tc>
          <w:tcPr>
            <w:tcW w:w="610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Exchange 5.500% 2040 Notes, which have been registered under the Securities Act;</w:t>
            </w:r>
          </w:p>
        </w:tc>
      </w:tr>
      <w:tr>
        <w:trPr>
          <w:trHeight w:val="335"/>
        </w:trPr>
        <w:tc>
          <w:tcPr>
            <w:tcW w:w="2240" w:type="dxa"/>
            <w:vAlign w:val="bottom"/>
          </w:tcPr>
          <w:p>
            <w:pPr>
              <w:spacing w:after="0"/>
              <w:rPr>
                <w:sz w:val="24"/>
                <w:szCs w:val="24"/>
                <w:color w:val="auto"/>
              </w:rPr>
            </w:pPr>
          </w:p>
        </w:tc>
        <w:tc>
          <w:tcPr>
            <w:tcW w:w="61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   the unregistered Restricted 5.125% 2041 Notes for an equivalent amount of the</w:t>
            </w:r>
          </w:p>
        </w:tc>
      </w:tr>
      <w:tr>
        <w:trPr>
          <w:trHeight w:val="175"/>
        </w:trPr>
        <w:tc>
          <w:tcPr>
            <w:tcW w:w="2240" w:type="dxa"/>
            <w:vAlign w:val="bottom"/>
          </w:tcPr>
          <w:p>
            <w:pPr>
              <w:spacing w:after="0"/>
              <w:rPr>
                <w:sz w:val="15"/>
                <w:szCs w:val="15"/>
                <w:color w:val="auto"/>
              </w:rPr>
            </w:pPr>
          </w:p>
        </w:tc>
        <w:tc>
          <w:tcPr>
            <w:tcW w:w="610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Exchange 5.125% 2041 Notes, which have been registered under the Securities Act;</w:t>
            </w:r>
          </w:p>
        </w:tc>
      </w:tr>
      <w:tr>
        <w:trPr>
          <w:trHeight w:val="335"/>
        </w:trPr>
        <w:tc>
          <w:tcPr>
            <w:tcW w:w="2240" w:type="dxa"/>
            <w:vAlign w:val="bottom"/>
          </w:tcPr>
          <w:p>
            <w:pPr>
              <w:spacing w:after="0"/>
              <w:rPr>
                <w:sz w:val="24"/>
                <w:szCs w:val="24"/>
                <w:color w:val="auto"/>
              </w:rPr>
            </w:pPr>
          </w:p>
        </w:tc>
        <w:tc>
          <w:tcPr>
            <w:tcW w:w="61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   the unregistered Restricted 3.125% 2049 Notes for an equivalent amount of the</w:t>
            </w:r>
          </w:p>
        </w:tc>
      </w:tr>
      <w:tr>
        <w:trPr>
          <w:trHeight w:val="163"/>
        </w:trPr>
        <w:tc>
          <w:tcPr>
            <w:tcW w:w="2240" w:type="dxa"/>
            <w:vAlign w:val="bottom"/>
          </w:tcPr>
          <w:p>
            <w:pPr>
              <w:spacing w:after="0"/>
              <w:rPr>
                <w:sz w:val="14"/>
                <w:szCs w:val="14"/>
                <w:color w:val="auto"/>
              </w:rPr>
            </w:pPr>
          </w:p>
        </w:tc>
        <w:tc>
          <w:tcPr>
            <w:tcW w:w="610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Exchange 3.125% 2049 Notes, which have been registered under the Securities Act;</w:t>
            </w:r>
          </w:p>
        </w:tc>
      </w:tr>
      <w:tr>
        <w:trPr>
          <w:trHeight w:val="175"/>
        </w:trPr>
        <w:tc>
          <w:tcPr>
            <w:tcW w:w="2240" w:type="dxa"/>
            <w:vAlign w:val="bottom"/>
          </w:tcPr>
          <w:p>
            <w:pPr>
              <w:spacing w:after="0"/>
              <w:rPr>
                <w:sz w:val="15"/>
                <w:szCs w:val="15"/>
                <w:color w:val="auto"/>
              </w:rPr>
            </w:pPr>
          </w:p>
        </w:tc>
        <w:tc>
          <w:tcPr>
            <w:tcW w:w="610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and</w:t>
            </w:r>
          </w:p>
        </w:tc>
      </w:tr>
      <w:tr>
        <w:trPr>
          <w:trHeight w:val="335"/>
        </w:trPr>
        <w:tc>
          <w:tcPr>
            <w:tcW w:w="2240" w:type="dxa"/>
            <w:vAlign w:val="bottom"/>
          </w:tcPr>
          <w:p>
            <w:pPr>
              <w:spacing w:after="0"/>
              <w:rPr>
                <w:sz w:val="24"/>
                <w:szCs w:val="24"/>
                <w:color w:val="auto"/>
              </w:rPr>
            </w:pPr>
          </w:p>
        </w:tc>
        <w:tc>
          <w:tcPr>
            <w:tcW w:w="61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   the unregistered Restricted 3.000% 2051 Notes for an equivalent amount of the</w:t>
            </w:r>
          </w:p>
        </w:tc>
      </w:tr>
      <w:tr>
        <w:trPr>
          <w:trHeight w:val="175"/>
        </w:trPr>
        <w:tc>
          <w:tcPr>
            <w:tcW w:w="2240" w:type="dxa"/>
            <w:vAlign w:val="bottom"/>
          </w:tcPr>
          <w:p>
            <w:pPr>
              <w:spacing w:after="0"/>
              <w:rPr>
                <w:sz w:val="15"/>
                <w:szCs w:val="15"/>
                <w:color w:val="auto"/>
              </w:rPr>
            </w:pPr>
          </w:p>
        </w:tc>
        <w:tc>
          <w:tcPr>
            <w:tcW w:w="610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Exchange 3.000% 2051 Notes, which have been registered under the Securities Act.</w:t>
            </w:r>
          </w:p>
        </w:tc>
      </w:tr>
      <w:tr>
        <w:trPr>
          <w:trHeight w:val="335"/>
        </w:trPr>
        <w:tc>
          <w:tcPr>
            <w:tcW w:w="2240" w:type="dxa"/>
            <w:vAlign w:val="bottom"/>
          </w:tcPr>
          <w:p>
            <w:pPr>
              <w:spacing w:after="0"/>
              <w:rPr>
                <w:sz w:val="24"/>
                <w:szCs w:val="24"/>
                <w:color w:val="auto"/>
              </w:rPr>
            </w:pPr>
          </w:p>
        </w:tc>
        <w:tc>
          <w:tcPr>
            <w:tcW w:w="610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The terms of the Exchange Notes to be issued in the Exchange Offers are substantially</w:t>
            </w:r>
          </w:p>
        </w:tc>
      </w:tr>
      <w:tr>
        <w:trPr>
          <w:trHeight w:val="175"/>
        </w:trPr>
        <w:tc>
          <w:tcPr>
            <w:tcW w:w="2240" w:type="dxa"/>
            <w:vAlign w:val="bottom"/>
          </w:tcPr>
          <w:p>
            <w:pPr>
              <w:spacing w:after="0"/>
              <w:rPr>
                <w:sz w:val="15"/>
                <w:szCs w:val="15"/>
                <w:color w:val="auto"/>
              </w:rPr>
            </w:pPr>
          </w:p>
        </w:tc>
        <w:tc>
          <w:tcPr>
            <w:tcW w:w="610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identical to the terms of the corresponding series of</w:t>
            </w:r>
          </w:p>
        </w:tc>
      </w:tr>
      <w:tr>
        <w:trPr>
          <w:trHeight w:val="129"/>
        </w:trPr>
        <w:tc>
          <w:tcPr>
            <w:tcW w:w="2240" w:type="dxa"/>
            <w:vAlign w:val="bottom"/>
            <w:tcBorders>
              <w:bottom w:val="single" w:sz="8" w:color="auto"/>
            </w:tcBorders>
          </w:tcPr>
          <w:p>
            <w:pPr>
              <w:spacing w:after="0"/>
              <w:rPr>
                <w:sz w:val="11"/>
                <w:szCs w:val="11"/>
                <w:color w:val="auto"/>
              </w:rPr>
            </w:pPr>
          </w:p>
        </w:tc>
        <w:tc>
          <w:tcPr>
            <w:tcW w:w="6100" w:type="dxa"/>
            <w:vAlign w:val="bottom"/>
            <w:tcBorders>
              <w:bottom w:val="single" w:sz="8" w:color="auto"/>
            </w:tcBorders>
          </w:tcPr>
          <w:p>
            <w:pPr>
              <w:spacing w:after="0"/>
              <w:rPr>
                <w:sz w:val="11"/>
                <w:szCs w:val="11"/>
                <w:color w:val="auto"/>
              </w:rPr>
            </w:pPr>
          </w:p>
        </w:tc>
      </w:tr>
      <w:tr>
        <w:trPr>
          <w:trHeight w:val="270"/>
        </w:trPr>
        <w:tc>
          <w:tcPr>
            <w:tcW w:w="2240" w:type="dxa"/>
            <w:vAlign w:val="bottom"/>
          </w:tcPr>
          <w:p>
            <w:pPr>
              <w:spacing w:after="0"/>
              <w:rPr>
                <w:sz w:val="23"/>
                <w:szCs w:val="23"/>
                <w:color w:val="auto"/>
              </w:rPr>
            </w:pPr>
          </w:p>
        </w:tc>
        <w:tc>
          <w:tcPr>
            <w:tcW w:w="6100" w:type="dxa"/>
            <w:vAlign w:val="bottom"/>
          </w:tcPr>
          <w:p>
            <w:pPr>
              <w:ind w:left="1900"/>
              <w:spacing w:after="0"/>
              <w:rPr>
                <w:sz w:val="20"/>
                <w:szCs w:val="20"/>
                <w:color w:val="auto"/>
              </w:rPr>
            </w:pPr>
            <w:r>
              <w:rPr>
                <w:rFonts w:ascii="Times New Roman" w:cs="Times New Roman" w:eastAsia="Times New Roman" w:hAnsi="Times New Roman"/>
                <w:sz w:val="14"/>
                <w:szCs w:val="14"/>
                <w:color w:val="auto"/>
              </w:rPr>
              <w:t>2</w:t>
            </w:r>
          </w:p>
        </w:tc>
      </w:tr>
    </w:tbl>
    <w:p>
      <w:pPr>
        <w:sectPr>
          <w:pgSz w:w="11900" w:h="16838" w:orient="portrait"/>
          <w:cols w:equalWidth="0" w:num="1">
            <w:col w:w="10159"/>
          </w:cols>
          <w:pgMar w:left="300" w:top="378"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29" w:lineRule="exact"/>
        <w:rPr>
          <w:sz w:val="20"/>
          <w:szCs w:val="20"/>
          <w:color w:val="auto"/>
        </w:rPr>
      </w:pPr>
    </w:p>
    <w:tbl>
      <w:tblPr>
        <w:tblLayout w:type="fixed"/>
        <w:tblInd w:w="1490" w:type="dxa"/>
        <w:tblCellMar>
          <w:top w:w="0" w:type="dxa"/>
          <w:left w:w="0" w:type="dxa"/>
          <w:bottom w:w="0" w:type="dxa"/>
          <w:right w:w="0" w:type="dxa"/>
        </w:tblCellMar>
      </w:tblPr>
      <w:tr>
        <w:trPr>
          <w:trHeight w:val="288"/>
        </w:trPr>
        <w:tc>
          <w:tcPr>
            <w:tcW w:w="2380" w:type="dxa"/>
            <w:vAlign w:val="bottom"/>
            <w:tcBorders>
              <w:top w:val="single" w:sz="8" w:color="auto"/>
              <w:left w:val="single" w:sz="8" w:color="auto"/>
            </w:tcBorders>
          </w:tcPr>
          <w:p>
            <w:pPr>
              <w:spacing w:after="0"/>
              <w:rPr>
                <w:sz w:val="24"/>
                <w:szCs w:val="24"/>
                <w:color w:val="auto"/>
              </w:rPr>
            </w:pPr>
          </w:p>
        </w:tc>
        <w:tc>
          <w:tcPr>
            <w:tcW w:w="5960" w:type="dxa"/>
            <w:vAlign w:val="bottom"/>
            <w:tcBorders>
              <w:top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Restricted Notes, except that the Exchange Notes will be registered under the Securities</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Act and the transfer restrictions, registration rights and additional interest provisions</w:t>
            </w:r>
          </w:p>
        </w:tc>
      </w:tr>
      <w:tr>
        <w:trPr>
          <w:trHeight w:val="175"/>
        </w:trPr>
        <w:tc>
          <w:tcPr>
            <w:tcW w:w="2380" w:type="dxa"/>
            <w:vAlign w:val="bottom"/>
            <w:tcBorders>
              <w:left w:val="single" w:sz="8" w:color="auto"/>
            </w:tcBorders>
          </w:tcPr>
          <w:p>
            <w:pPr>
              <w:spacing w:after="0"/>
              <w:rPr>
                <w:sz w:val="15"/>
                <w:szCs w:val="15"/>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applicable to the Restricted Notes will not apply to the Exchange Notes.</w:t>
            </w:r>
          </w:p>
        </w:tc>
      </w:tr>
      <w:tr>
        <w:trPr>
          <w:trHeight w:val="345"/>
        </w:trPr>
        <w:tc>
          <w:tcPr>
            <w:tcW w:w="2380" w:type="dxa"/>
            <w:vAlign w:val="bottom"/>
            <w:tcBorders>
              <w:left w:val="single" w:sz="8" w:color="auto"/>
            </w:tcBorders>
          </w:tcPr>
          <w:p>
            <w:pPr>
              <w:spacing w:after="0"/>
              <w:rPr>
                <w:sz w:val="24"/>
                <w:szCs w:val="24"/>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To exchange your Restricted Notes, you must properly tender them, and we must accept</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them. We will accept and exchange all Restricted Notes that you validly tender and do not</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validly withdraw prior to the expiration of the Exchange Offers. We will issue registered</w:t>
            </w:r>
          </w:p>
        </w:tc>
      </w:tr>
      <w:tr>
        <w:trPr>
          <w:trHeight w:val="175"/>
        </w:trPr>
        <w:tc>
          <w:tcPr>
            <w:tcW w:w="2380" w:type="dxa"/>
            <w:vAlign w:val="bottom"/>
            <w:tcBorders>
              <w:left w:val="single" w:sz="8" w:color="auto"/>
            </w:tcBorders>
          </w:tcPr>
          <w:p>
            <w:pPr>
              <w:spacing w:after="0"/>
              <w:rPr>
                <w:sz w:val="15"/>
                <w:szCs w:val="15"/>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Exchange Notes promptly after the expiration of the Exchange Offers.</w:t>
            </w:r>
          </w:p>
        </w:tc>
      </w:tr>
      <w:tr>
        <w:trPr>
          <w:trHeight w:val="335"/>
        </w:trPr>
        <w:tc>
          <w:tcPr>
            <w:tcW w:w="23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Resale of Exchange Notes</w:t>
            </w: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Based on interpretations of the SEC staff, as described in previous no-action letters issued</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to third parties, we believe that the Exchange Notes you receive pursuant to the Exchange</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Offers in exchange for the Restricted Notes may be offered for resale, resold and otherwise</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transferred without compliance with the registration and prospectus delivery provisions of</w:t>
            </w:r>
          </w:p>
        </w:tc>
      </w:tr>
      <w:tr>
        <w:trPr>
          <w:trHeight w:val="175"/>
        </w:trPr>
        <w:tc>
          <w:tcPr>
            <w:tcW w:w="2380" w:type="dxa"/>
            <w:vAlign w:val="bottom"/>
            <w:tcBorders>
              <w:left w:val="single" w:sz="8" w:color="auto"/>
            </w:tcBorders>
          </w:tcPr>
          <w:p>
            <w:pPr>
              <w:spacing w:after="0"/>
              <w:rPr>
                <w:sz w:val="15"/>
                <w:szCs w:val="15"/>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the Securities Act, provided that:</w:t>
            </w:r>
          </w:p>
        </w:tc>
      </w:tr>
      <w:tr>
        <w:trPr>
          <w:trHeight w:val="335"/>
        </w:trPr>
        <w:tc>
          <w:tcPr>
            <w:tcW w:w="2380" w:type="dxa"/>
            <w:vAlign w:val="bottom"/>
            <w:tcBorders>
              <w:left w:val="single" w:sz="8" w:color="auto"/>
            </w:tcBorders>
          </w:tcPr>
          <w:p>
            <w:pPr>
              <w:spacing w:after="0"/>
              <w:rPr>
                <w:sz w:val="24"/>
                <w:szCs w:val="24"/>
                <w:color w:val="auto"/>
              </w:rPr>
            </w:pPr>
          </w:p>
        </w:tc>
        <w:tc>
          <w:tcPr>
            <w:tcW w:w="596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   you are acquiring the Exchange Notes issued in the Exchange Offers in the ordinary</w:t>
            </w:r>
          </w:p>
        </w:tc>
      </w:tr>
      <w:tr>
        <w:trPr>
          <w:trHeight w:val="175"/>
        </w:trPr>
        <w:tc>
          <w:tcPr>
            <w:tcW w:w="2380" w:type="dxa"/>
            <w:vAlign w:val="bottom"/>
            <w:tcBorders>
              <w:left w:val="single" w:sz="8" w:color="auto"/>
            </w:tcBorders>
          </w:tcPr>
          <w:p>
            <w:pPr>
              <w:spacing w:after="0"/>
              <w:rPr>
                <w:sz w:val="15"/>
                <w:szCs w:val="15"/>
                <w:color w:val="auto"/>
              </w:rPr>
            </w:pPr>
          </w:p>
        </w:tc>
        <w:tc>
          <w:tcPr>
            <w:tcW w:w="596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course of your business;</w:t>
            </w:r>
          </w:p>
        </w:tc>
      </w:tr>
      <w:tr>
        <w:trPr>
          <w:trHeight w:val="335"/>
        </w:trPr>
        <w:tc>
          <w:tcPr>
            <w:tcW w:w="2380" w:type="dxa"/>
            <w:vAlign w:val="bottom"/>
            <w:tcBorders>
              <w:left w:val="single" w:sz="8" w:color="auto"/>
            </w:tcBorders>
          </w:tcPr>
          <w:p>
            <w:pPr>
              <w:spacing w:after="0"/>
              <w:rPr>
                <w:sz w:val="24"/>
                <w:szCs w:val="24"/>
                <w:color w:val="auto"/>
              </w:rPr>
            </w:pPr>
          </w:p>
        </w:tc>
        <w:tc>
          <w:tcPr>
            <w:tcW w:w="596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   you have not engaged in, do not intend to engage in, and have no arrangement or</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understanding with any person to participate in the distribution, as defined in the</w:t>
            </w:r>
          </w:p>
        </w:tc>
      </w:tr>
      <w:tr>
        <w:trPr>
          <w:trHeight w:val="175"/>
        </w:trPr>
        <w:tc>
          <w:tcPr>
            <w:tcW w:w="2380" w:type="dxa"/>
            <w:vAlign w:val="bottom"/>
            <w:tcBorders>
              <w:left w:val="single" w:sz="8" w:color="auto"/>
            </w:tcBorders>
          </w:tcPr>
          <w:p>
            <w:pPr>
              <w:spacing w:after="0"/>
              <w:rPr>
                <w:sz w:val="15"/>
                <w:szCs w:val="15"/>
                <w:color w:val="auto"/>
              </w:rPr>
            </w:pPr>
          </w:p>
        </w:tc>
        <w:tc>
          <w:tcPr>
            <w:tcW w:w="596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Securities Act, of the Exchange Notes you will receive in the Exchange Offers; and</w:t>
            </w:r>
          </w:p>
        </w:tc>
      </w:tr>
      <w:tr>
        <w:trPr>
          <w:trHeight w:val="335"/>
        </w:trPr>
        <w:tc>
          <w:tcPr>
            <w:tcW w:w="2380" w:type="dxa"/>
            <w:vAlign w:val="bottom"/>
            <w:tcBorders>
              <w:left w:val="single" w:sz="8" w:color="auto"/>
            </w:tcBorders>
          </w:tcPr>
          <w:p>
            <w:pPr>
              <w:spacing w:after="0"/>
              <w:rPr>
                <w:sz w:val="24"/>
                <w:szCs w:val="24"/>
                <w:color w:val="auto"/>
              </w:rPr>
            </w:pPr>
          </w:p>
        </w:tc>
        <w:tc>
          <w:tcPr>
            <w:tcW w:w="596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   you are not an “affiliate” of Shell or Shell Finance US, as defined in Rule 405 of the</w:t>
            </w:r>
          </w:p>
        </w:tc>
      </w:tr>
      <w:tr>
        <w:trPr>
          <w:trHeight w:val="175"/>
        </w:trPr>
        <w:tc>
          <w:tcPr>
            <w:tcW w:w="2380" w:type="dxa"/>
            <w:vAlign w:val="bottom"/>
            <w:tcBorders>
              <w:left w:val="single" w:sz="8" w:color="auto"/>
            </w:tcBorders>
          </w:tcPr>
          <w:p>
            <w:pPr>
              <w:spacing w:after="0"/>
              <w:rPr>
                <w:sz w:val="15"/>
                <w:szCs w:val="15"/>
                <w:color w:val="auto"/>
              </w:rPr>
            </w:pPr>
          </w:p>
        </w:tc>
        <w:tc>
          <w:tcPr>
            <w:tcW w:w="596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Securities Act.</w:t>
            </w:r>
          </w:p>
        </w:tc>
      </w:tr>
      <w:tr>
        <w:trPr>
          <w:trHeight w:val="335"/>
        </w:trPr>
        <w:tc>
          <w:tcPr>
            <w:tcW w:w="2380" w:type="dxa"/>
            <w:vAlign w:val="bottom"/>
            <w:tcBorders>
              <w:left w:val="single" w:sz="8" w:color="auto"/>
            </w:tcBorders>
          </w:tcPr>
          <w:p>
            <w:pPr>
              <w:spacing w:after="0"/>
              <w:rPr>
                <w:sz w:val="24"/>
                <w:szCs w:val="24"/>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By tendering your Restricted Notes as described in “The Exchange Offers—Procedures for</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w w:val="99"/>
              </w:rPr>
              <w:t>Tendering Restricted Notes”, you will be making representations to this effect. If you fail to</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satisfy any of these conditions, you cannot rely on the position of the SEC set forth in the</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no-action letters referred to above and you must comply with the registration and</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prospectus delivery requirements of the Securities Act in connection with a resale of the</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Exchange Notes. We base our belief on interpretations by the SEC staff in no-action letters</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issued to other issuers in exchange offers like ours. We cannot guarantee that the SEC</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would make a similar decision about our Exchange Offers. If our belief is wrong, you</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could incur liability under the Securities Act. We will not protect you against any loss</w:t>
            </w:r>
          </w:p>
        </w:tc>
      </w:tr>
      <w:tr>
        <w:trPr>
          <w:trHeight w:val="175"/>
        </w:trPr>
        <w:tc>
          <w:tcPr>
            <w:tcW w:w="2380" w:type="dxa"/>
            <w:vAlign w:val="bottom"/>
            <w:tcBorders>
              <w:left w:val="single" w:sz="8" w:color="auto"/>
            </w:tcBorders>
          </w:tcPr>
          <w:p>
            <w:pPr>
              <w:spacing w:after="0"/>
              <w:rPr>
                <w:sz w:val="15"/>
                <w:szCs w:val="15"/>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incurred as a result of this liability under the Securities Act.</w:t>
            </w:r>
          </w:p>
        </w:tc>
      </w:tr>
      <w:tr>
        <w:trPr>
          <w:trHeight w:val="335"/>
        </w:trPr>
        <w:tc>
          <w:tcPr>
            <w:tcW w:w="2380" w:type="dxa"/>
            <w:vAlign w:val="bottom"/>
            <w:tcBorders>
              <w:left w:val="single" w:sz="8" w:color="auto"/>
            </w:tcBorders>
          </w:tcPr>
          <w:p>
            <w:pPr>
              <w:spacing w:after="0"/>
              <w:rPr>
                <w:sz w:val="24"/>
                <w:szCs w:val="24"/>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Each broker-dealer that receives Exchange Notes for its own account in exchange for</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Restricted Notes, where such Restricted Notes were acquired by such broker-dealer as a</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result of market-making activities or other trading activities, must acknowledge that it will</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deliver a prospectus meeting the requirements of the Securities Act in connection with any</w:t>
            </w:r>
          </w:p>
        </w:tc>
      </w:tr>
      <w:tr>
        <w:trPr>
          <w:trHeight w:val="175"/>
        </w:trPr>
        <w:tc>
          <w:tcPr>
            <w:tcW w:w="2380" w:type="dxa"/>
            <w:vAlign w:val="bottom"/>
            <w:tcBorders>
              <w:left w:val="single" w:sz="8" w:color="auto"/>
            </w:tcBorders>
          </w:tcPr>
          <w:p>
            <w:pPr>
              <w:spacing w:after="0"/>
              <w:rPr>
                <w:sz w:val="15"/>
                <w:szCs w:val="15"/>
                <w:color w:val="auto"/>
              </w:rPr>
            </w:pPr>
          </w:p>
        </w:tc>
        <w:tc>
          <w:tcPr>
            <w:tcW w:w="59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resale of the Exchange Notes. Shell Finance US</w:t>
            </w:r>
          </w:p>
        </w:tc>
      </w:tr>
      <w:tr>
        <w:trPr>
          <w:trHeight w:val="129"/>
        </w:trPr>
        <w:tc>
          <w:tcPr>
            <w:tcW w:w="2380" w:type="dxa"/>
            <w:vAlign w:val="bottom"/>
            <w:tcBorders>
              <w:left w:val="single" w:sz="8" w:color="auto"/>
              <w:bottom w:val="single" w:sz="8" w:color="auto"/>
            </w:tcBorders>
          </w:tcPr>
          <w:p>
            <w:pPr>
              <w:spacing w:after="0"/>
              <w:rPr>
                <w:sz w:val="11"/>
                <w:szCs w:val="11"/>
                <w:color w:val="auto"/>
              </w:rPr>
            </w:pPr>
          </w:p>
        </w:tc>
        <w:tc>
          <w:tcPr>
            <w:tcW w:w="5960" w:type="dxa"/>
            <w:vAlign w:val="bottom"/>
            <w:tcBorders>
              <w:bottom w:val="single" w:sz="8" w:color="auto"/>
              <w:right w:val="single" w:sz="8" w:color="auto"/>
            </w:tcBorders>
          </w:tcPr>
          <w:p>
            <w:pPr>
              <w:spacing w:after="0"/>
              <w:rPr>
                <w:sz w:val="11"/>
                <w:szCs w:val="11"/>
                <w:color w:val="auto"/>
              </w:rPr>
            </w:pPr>
          </w:p>
        </w:tc>
      </w:tr>
      <w:tr>
        <w:trPr>
          <w:trHeight w:val="270"/>
        </w:trPr>
        <w:tc>
          <w:tcPr>
            <w:tcW w:w="2380" w:type="dxa"/>
            <w:vAlign w:val="bottom"/>
          </w:tcPr>
          <w:p>
            <w:pPr>
              <w:spacing w:after="0"/>
              <w:rPr>
                <w:sz w:val="23"/>
                <w:szCs w:val="23"/>
                <w:color w:val="auto"/>
              </w:rPr>
            </w:pPr>
          </w:p>
        </w:tc>
        <w:tc>
          <w:tcPr>
            <w:tcW w:w="596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3</w:t>
            </w:r>
          </w:p>
        </w:tc>
      </w:tr>
    </w:tbl>
    <w:p>
      <w:pPr>
        <w:sectPr>
          <w:pgSz w:w="11900" w:h="16838" w:orient="portrait"/>
          <w:cols w:equalWidth="0" w:num="1">
            <w:col w:w="10159"/>
          </w:cols>
          <w:pgMar w:left="300" w:top="378"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Expiration Time</w:t>
      </w:r>
    </w:p>
    <w:p>
      <w:pPr>
        <w:spacing w:after="0" w:line="200" w:lineRule="exact"/>
        <w:rPr>
          <w:sz w:val="20"/>
          <w:szCs w:val="20"/>
          <w:color w:val="auto"/>
        </w:rPr>
      </w:pPr>
    </w:p>
    <w:p>
      <w:pPr>
        <w:spacing w:after="0" w:line="312" w:lineRule="exact"/>
        <w:rPr>
          <w:sz w:val="20"/>
          <w:szCs w:val="20"/>
          <w:color w:val="auto"/>
        </w:rPr>
      </w:pPr>
    </w:p>
    <w:p>
      <w:pPr>
        <w:ind w:left="1620"/>
        <w:spacing w:after="0" w:line="264" w:lineRule="auto"/>
        <w:rPr>
          <w:sz w:val="20"/>
          <w:szCs w:val="20"/>
          <w:color w:val="auto"/>
        </w:rPr>
      </w:pPr>
      <w:r>
        <w:rPr>
          <w:rFonts w:ascii="Times New Roman" w:cs="Times New Roman" w:eastAsia="Times New Roman" w:hAnsi="Times New Roman"/>
          <w:sz w:val="14"/>
          <w:szCs w:val="14"/>
          <w:color w:val="auto"/>
        </w:rPr>
        <w:t>Accrued Interest on the Exchange Notes and the Restricted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Withdrawal Rights</w:t>
      </w:r>
    </w:p>
    <w:p>
      <w:pPr>
        <w:spacing w:after="0" w:line="34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Conditions to the Exchange Offers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4"/>
          <w:szCs w:val="14"/>
          <w:color w:val="auto"/>
        </w:rPr>
        <w:t>Procedures for Tendering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No Guaranteed Delivery Procedures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right="599"/>
        <w:spacing w:after="0" w:line="305" w:lineRule="auto"/>
        <w:rPr>
          <w:sz w:val="20"/>
          <w:szCs w:val="20"/>
          <w:color w:val="auto"/>
        </w:rPr>
      </w:pPr>
      <w:r>
        <w:rPr>
          <w:rFonts w:ascii="Times New Roman" w:cs="Times New Roman" w:eastAsia="Times New Roman" w:hAnsi="Times New Roman"/>
          <w:sz w:val="12"/>
          <w:szCs w:val="12"/>
          <w:color w:val="auto"/>
        </w:rPr>
        <w:t>has agreed that it will furnish to each broker-dealer in accordance with the Registration Rights Agreement, without charge, as many copies of this prospectus and any amendment and supplement hereto, as such participating broker-dealer may reasonably request in connection with its resale of such Exchange Notes.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-935355</wp:posOffset>
            </wp:positionV>
            <wp:extent cx="7204075" cy="45059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4505960"/>
                    </a:xfrm>
                    <a:prstGeom prst="rect">
                      <a:avLst/>
                    </a:prstGeom>
                    <a:noFill/>
                  </pic:spPr>
                </pic:pic>
              </a:graphicData>
            </a:graphic>
          </wp:anchor>
        </w:drawing>
      </w:r>
    </w:p>
    <w:p>
      <w:pPr>
        <w:spacing w:after="0" w:line="115" w:lineRule="exact"/>
        <w:rPr>
          <w:sz w:val="20"/>
          <w:szCs w:val="20"/>
          <w:color w:val="auto"/>
        </w:rPr>
      </w:pPr>
    </w:p>
    <w:p>
      <w:pPr>
        <w:ind w:right="779"/>
        <w:spacing w:after="0" w:line="253" w:lineRule="auto"/>
        <w:rPr>
          <w:sz w:val="20"/>
          <w:szCs w:val="20"/>
          <w:color w:val="auto"/>
        </w:rPr>
      </w:pPr>
      <w:r>
        <w:rPr>
          <w:rFonts w:ascii="Times New Roman" w:cs="Times New Roman" w:eastAsia="Times New Roman" w:hAnsi="Times New Roman"/>
          <w:sz w:val="14"/>
          <w:szCs w:val="14"/>
          <w:color w:val="auto"/>
        </w:rPr>
        <w:t>Each of the Exchange Offers will expire at 5:00 p.m., New York City time, on       , 2026, or a later date and time to which we extend the expiration date in respect of the applicable Exchange Offer.</w:t>
      </w:r>
    </w:p>
    <w:p>
      <w:pPr>
        <w:spacing w:after="0" w:line="164" w:lineRule="exact"/>
        <w:rPr>
          <w:sz w:val="20"/>
          <w:szCs w:val="20"/>
          <w:color w:val="auto"/>
        </w:rPr>
      </w:pPr>
    </w:p>
    <w:p>
      <w:pPr>
        <w:ind w:right="519"/>
        <w:spacing w:after="0" w:line="294" w:lineRule="auto"/>
        <w:rPr>
          <w:sz w:val="20"/>
          <w:szCs w:val="20"/>
          <w:color w:val="auto"/>
        </w:rPr>
      </w:pPr>
      <w:r>
        <w:rPr>
          <w:rFonts w:ascii="Times New Roman" w:cs="Times New Roman" w:eastAsia="Times New Roman" w:hAnsi="Times New Roman"/>
          <w:sz w:val="12"/>
          <w:szCs w:val="12"/>
          <w:color w:val="auto"/>
        </w:rPr>
        <w:t>The Exchange Notes will bear interest from the most recent interest payment date on which interest has been paid on the corresponding Restricted Notes or, if no interest has yet been paid on the corresponding Restricted Note, the corresponding debt security issued by Shell International Finance or BGEC (as applicable) for which such Restricted Note was exchanged. If your Restricted Notes are accepted for exchange, then you will receive interest on the Exchange Notes and not on the Restricted Notes. Any Restricted Notes not tendered will remain outstanding and continue to accrue interest according to their terms.</w:t>
      </w:r>
    </w:p>
    <w:p>
      <w:pPr>
        <w:spacing w:after="0" w:line="143" w:lineRule="exact"/>
        <w:rPr>
          <w:sz w:val="20"/>
          <w:szCs w:val="20"/>
          <w:color w:val="auto"/>
        </w:rPr>
      </w:pPr>
    </w:p>
    <w:p>
      <w:pPr>
        <w:ind w:right="599"/>
        <w:spacing w:after="0" w:line="348" w:lineRule="auto"/>
        <w:rPr>
          <w:sz w:val="20"/>
          <w:szCs w:val="20"/>
          <w:color w:val="auto"/>
        </w:rPr>
      </w:pPr>
      <w:r>
        <w:rPr>
          <w:rFonts w:ascii="Times New Roman" w:cs="Times New Roman" w:eastAsia="Times New Roman" w:hAnsi="Times New Roman"/>
          <w:sz w:val="12"/>
          <w:szCs w:val="12"/>
          <w:color w:val="auto"/>
        </w:rPr>
        <w:t>You may withdraw your tender of Restricted Notes at any time before the Expiration Date for the applicable Exchange Offer. See “The Exchange Offers—Withdrawal of Tenders”.</w:t>
      </w:r>
    </w:p>
    <w:p>
      <w:pPr>
        <w:spacing w:after="0" w:line="110" w:lineRule="exact"/>
        <w:rPr>
          <w:sz w:val="20"/>
          <w:szCs w:val="20"/>
          <w:color w:val="auto"/>
        </w:rPr>
      </w:pPr>
    </w:p>
    <w:p>
      <w:pPr>
        <w:ind w:right="519"/>
        <w:spacing w:after="0" w:line="250" w:lineRule="auto"/>
        <w:rPr>
          <w:sz w:val="20"/>
          <w:szCs w:val="20"/>
          <w:color w:val="auto"/>
        </w:rPr>
      </w:pPr>
      <w:r>
        <w:rPr>
          <w:rFonts w:ascii="Times New Roman" w:cs="Times New Roman" w:eastAsia="Times New Roman" w:hAnsi="Times New Roman"/>
          <w:sz w:val="14"/>
          <w:szCs w:val="14"/>
          <w:color w:val="auto"/>
        </w:rPr>
        <w:t>The Exchange Offers are subject to certain conditions, which we may amend or waive at any time with respect to an Exchange Offer. The Exchange Offers are not conditioned upon any minimum principal amount of outstanding Restricted Notes being tendered. See “The Exchange Offers—Conditions to the Exchange Offers”.</w:t>
      </w:r>
    </w:p>
    <w:p>
      <w:pPr>
        <w:spacing w:after="0" w:line="166" w:lineRule="exact"/>
        <w:rPr>
          <w:sz w:val="20"/>
          <w:szCs w:val="20"/>
          <w:color w:val="auto"/>
        </w:rPr>
      </w:pPr>
    </w:p>
    <w:p>
      <w:pPr>
        <w:ind w:right="599"/>
        <w:spacing w:after="0" w:line="246" w:lineRule="auto"/>
        <w:rPr>
          <w:sz w:val="20"/>
          <w:szCs w:val="20"/>
          <w:color w:val="auto"/>
        </w:rPr>
      </w:pPr>
      <w:r>
        <w:rPr>
          <w:rFonts w:ascii="Times New Roman" w:cs="Times New Roman" w:eastAsia="Times New Roman" w:hAnsi="Times New Roman"/>
          <w:sz w:val="14"/>
          <w:szCs w:val="14"/>
          <w:color w:val="auto"/>
        </w:rPr>
        <w:t>If you wish to participate in the Exchange Offers, you must cause the book-entry transfer of your Restricted Notes to the Exchange Agent’s account at DTC and electronically transmit your acceptance of the Exchange Offers through DTC’s Automated Tender Offer Program (“ATOP”) for transfer before the Expiration Time of the Exchange Offers. DTC will then verify the acceptance, execute a book-entry delivery to the Exchange Agent’s account at DTC and send an agent’s message to the Exchange Agent. There will be no letter of transmittal for this offer. See “The Exchange Offers—Procedures for Tendering Restricted Notes.”</w:t>
      </w:r>
    </w:p>
    <w:p>
      <w:pPr>
        <w:spacing w:after="0" w:line="170" w:lineRule="exact"/>
        <w:rPr>
          <w:sz w:val="20"/>
          <w:szCs w:val="20"/>
          <w:color w:val="auto"/>
        </w:rPr>
      </w:pPr>
    </w:p>
    <w:p>
      <w:pPr>
        <w:ind w:right="539"/>
        <w:spacing w:after="0" w:line="253" w:lineRule="auto"/>
        <w:rPr>
          <w:sz w:val="20"/>
          <w:szCs w:val="20"/>
          <w:color w:val="auto"/>
        </w:rPr>
      </w:pPr>
      <w:r>
        <w:rPr>
          <w:rFonts w:ascii="Times New Roman" w:cs="Times New Roman" w:eastAsia="Times New Roman" w:hAnsi="Times New Roman"/>
          <w:sz w:val="14"/>
          <w:szCs w:val="14"/>
          <w:color w:val="auto"/>
        </w:rPr>
        <w:t>No guaranteed delivery procedures are available in connection with the Exchange Offers. You must tender your Restricted Notes by the Expiration Time in order to participate in the Exchange Offers.</w:t>
      </w:r>
    </w:p>
    <w:p>
      <w:pPr>
        <w:spacing w:after="0" w:line="200" w:lineRule="exact"/>
        <w:rPr>
          <w:sz w:val="20"/>
          <w:szCs w:val="20"/>
          <w:color w:val="auto"/>
        </w:rPr>
      </w:pPr>
    </w:p>
    <w:p>
      <w:pPr>
        <w:sectPr>
          <w:pgSz w:w="11900" w:h="16838" w:orient="portrait"/>
          <w:cols w:equalWidth="0" w:num="2">
            <w:col w:w="4240" w:space="420"/>
            <w:col w:w="5499"/>
          </w:cols>
          <w:pgMar w:left="300" w:top="378" w:right="1440" w:bottom="1440" w:gutter="0" w:footer="0" w:header="0"/>
        </w:sectPr>
      </w:pP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0159"/>
          </w:cols>
          <w:pgMar w:left="300" w:top="378" w:right="1440"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158115</wp:posOffset>
            </wp:positionV>
            <wp:extent cx="5293360" cy="3562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93360" cy="3562985"/>
                    </a:xfrm>
                    <a:prstGeom prst="rect">
                      <a:avLst/>
                    </a:prstGeom>
                    <a:noFill/>
                  </pic:spPr>
                </pic:pic>
              </a:graphicData>
            </a:graphic>
          </wp:anchor>
        </w:drawing>
      </w:r>
    </w:p>
    <w:p>
      <w:pPr>
        <w:spacing w:after="0" w:line="3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Consequences of Not Exchanging Restricted Notes for Restricted Notes that are not tendered in the Exchange Offers or are not accepted for</w:t>
      </w:r>
    </w:p>
    <w:p>
      <w:pPr>
        <w:spacing w:after="0" w:line="14" w:lineRule="exact"/>
        <w:rPr>
          <w:sz w:val="20"/>
          <w:szCs w:val="20"/>
          <w:color w:val="auto"/>
        </w:rPr>
      </w:pPr>
    </w:p>
    <w:p>
      <w:pPr>
        <w:ind w:left="4660" w:right="519" w:hanging="3050"/>
        <w:spacing w:after="0" w:line="290" w:lineRule="auto"/>
        <w:tabs>
          <w:tab w:leader="none" w:pos="4640" w:val="left"/>
        </w:tabs>
        <w:rPr>
          <w:sz w:val="20"/>
          <w:szCs w:val="20"/>
          <w:color w:val="auto"/>
        </w:rPr>
      </w:pPr>
      <w:r>
        <w:rPr>
          <w:rFonts w:ascii="Times New Roman" w:cs="Times New Roman" w:eastAsia="Times New Roman" w:hAnsi="Times New Roman"/>
          <w:sz w:val="14"/>
          <w:szCs w:val="14"/>
          <w:color w:val="auto"/>
        </w:rPr>
        <w:t>Exchange Notes</w:t>
      </w:r>
      <w:r>
        <w:rPr>
          <w:sz w:val="20"/>
          <w:szCs w:val="20"/>
          <w:color w:val="auto"/>
        </w:rPr>
        <w:tab/>
      </w:r>
      <w:r>
        <w:rPr>
          <w:rFonts w:ascii="Times New Roman" w:cs="Times New Roman" w:eastAsia="Times New Roman" w:hAnsi="Times New Roman"/>
          <w:sz w:val="12"/>
          <w:szCs w:val="12"/>
          <w:color w:val="auto"/>
        </w:rPr>
        <w:t>exchange will continue to be subject to transfer restrictions. You will not be able to offer or sell such Restricted Notes unless you are able to rely on an exemption from the requirements of the Securities Act or the Restricted Notes are registered under the Securities Act. After the Exchange Offers are completed, Shell Finance US will no longer have an obligation to register the Restricted Notes, except under limited circumstances. To the extent that Restricted Notes are tendered and accepted in the Exchange Offers, the market for any remaining Restricted Notes will be adversely affected. See “Risk Factors— Risks Relating to the Exchange Offers—If you fail to exchange your Restricted Notes, they will continue to be restricted securities and may become less liquid”.</w:t>
      </w:r>
    </w:p>
    <w:p>
      <w:pPr>
        <w:sectPr>
          <w:pgSz w:w="11900" w:h="16838" w:orient="portrait"/>
          <w:cols w:equalWidth="0" w:num="1">
            <w:col w:w="10159"/>
          </w:cols>
          <w:pgMar w:left="300" w:top="378" w:right="1440" w:bottom="1440" w:gutter="0" w:footer="0" w:header="0"/>
        </w:sectPr>
      </w:pPr>
    </w:p>
    <w:p>
      <w:pPr>
        <w:spacing w:after="0" w:line="307"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2"/>
          <w:szCs w:val="12"/>
          <w:color w:val="auto"/>
        </w:rPr>
        <w:t>Issuance of Exchange Notes</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right="519"/>
        <w:spacing w:after="0" w:line="253" w:lineRule="auto"/>
        <w:rPr>
          <w:sz w:val="20"/>
          <w:szCs w:val="20"/>
          <w:color w:val="auto"/>
        </w:rPr>
      </w:pPr>
      <w:r>
        <w:rPr>
          <w:rFonts w:ascii="Times New Roman" w:cs="Times New Roman" w:eastAsia="Times New Roman" w:hAnsi="Times New Roman"/>
          <w:sz w:val="14"/>
          <w:szCs w:val="14"/>
          <w:color w:val="auto"/>
        </w:rPr>
        <w:t>Shell Finance US will issue Exchange Notes in exchange for Restricted Notes tendered and accepted in the Exchange Offers promptly following the applicable Expiration Date. See “The Exchange Offers—Terms of the Exchange Offers”.</w:t>
      </w:r>
    </w:p>
    <w:p>
      <w:pPr>
        <w:spacing w:after="0" w:line="164" w:lineRule="exact"/>
        <w:rPr>
          <w:sz w:val="20"/>
          <w:szCs w:val="20"/>
          <w:color w:val="auto"/>
        </w:rPr>
      </w:pPr>
    </w:p>
    <w:p>
      <w:pPr>
        <w:sectPr>
          <w:pgSz w:w="11900" w:h="16838" w:orient="portrait"/>
          <w:cols w:equalWidth="0" w:num="2">
            <w:col w:w="3940" w:space="720"/>
            <w:col w:w="5499"/>
          </w:cols>
          <w:pgMar w:left="300" w:top="378"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2"/>
          <w:szCs w:val="12"/>
          <w:color w:val="auto"/>
        </w:rPr>
        <w:t>Accounting Treatment</w:t>
      </w:r>
    </w:p>
    <w:p>
      <w:pPr>
        <w:spacing w:after="0" w:line="20" w:lineRule="exact"/>
        <w:rPr>
          <w:sz w:val="20"/>
          <w:szCs w:val="20"/>
          <w:color w:val="auto"/>
        </w:rPr>
      </w:pPr>
      <w:r>
        <w:rPr>
          <w:sz w:val="20"/>
          <w:szCs w:val="20"/>
          <w:color w:val="auto"/>
        </w:rPr>
        <w:br w:type="column"/>
      </w:r>
    </w:p>
    <w:p>
      <w:pPr>
        <w:jc w:val="both"/>
        <w:ind w:right="759"/>
        <w:spacing w:after="0" w:line="253" w:lineRule="auto"/>
        <w:rPr>
          <w:sz w:val="20"/>
          <w:szCs w:val="20"/>
          <w:color w:val="auto"/>
        </w:rPr>
      </w:pPr>
      <w:r>
        <w:rPr>
          <w:rFonts w:ascii="Times New Roman" w:cs="Times New Roman" w:eastAsia="Times New Roman" w:hAnsi="Times New Roman"/>
          <w:sz w:val="14"/>
          <w:szCs w:val="14"/>
          <w:color w:val="auto"/>
        </w:rPr>
        <w:t>We do not expect to recognize any gain or loss for accounting related to the Exchange Offers. We expect to record the expenses of the Exchange Offers as incurred. See “The Exchange Offers— Accounting Treatment”.</w:t>
      </w:r>
    </w:p>
    <w:p>
      <w:pPr>
        <w:spacing w:after="0" w:line="164" w:lineRule="exact"/>
        <w:rPr>
          <w:sz w:val="20"/>
          <w:szCs w:val="20"/>
          <w:color w:val="auto"/>
        </w:rPr>
      </w:pPr>
    </w:p>
    <w:p>
      <w:pPr>
        <w:sectPr>
          <w:pgSz w:w="11900" w:h="16838" w:orient="portrait"/>
          <w:cols w:equalWidth="0" w:num="2">
            <w:col w:w="3940" w:space="720"/>
            <w:col w:w="5499"/>
          </w:cols>
          <w:pgMar w:left="300" w:top="378"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2"/>
          <w:szCs w:val="12"/>
          <w:color w:val="auto"/>
        </w:rPr>
        <w:t>U.S. Federal Income Tax Consequences</w:t>
      </w:r>
    </w:p>
    <w:p>
      <w:pPr>
        <w:spacing w:after="0" w:line="20" w:lineRule="exact"/>
        <w:rPr>
          <w:sz w:val="20"/>
          <w:szCs w:val="20"/>
          <w:color w:val="auto"/>
        </w:rPr>
      </w:pPr>
      <w:r>
        <w:rPr>
          <w:sz w:val="20"/>
          <w:szCs w:val="20"/>
          <w:color w:val="auto"/>
        </w:rPr>
        <w:br w:type="column"/>
      </w:r>
    </w:p>
    <w:p>
      <w:pPr>
        <w:ind w:right="659"/>
        <w:spacing w:after="0" w:line="253" w:lineRule="auto"/>
        <w:rPr>
          <w:sz w:val="20"/>
          <w:szCs w:val="20"/>
          <w:color w:val="auto"/>
        </w:rPr>
      </w:pPr>
      <w:r>
        <w:rPr>
          <w:rFonts w:ascii="Times New Roman" w:cs="Times New Roman" w:eastAsia="Times New Roman" w:hAnsi="Times New Roman"/>
          <w:sz w:val="14"/>
          <w:szCs w:val="14"/>
          <w:color w:val="auto"/>
        </w:rPr>
        <w:t>The exchange of Restricted Notes for Exchange Notes pursuant to the Exchange Offers generally will not be a taxable event for U.S. federal income tax purposes. See “Material U.S. Federal Income Tax Considerations”.</w:t>
      </w:r>
    </w:p>
    <w:p>
      <w:pPr>
        <w:spacing w:after="0" w:line="164" w:lineRule="exact"/>
        <w:rPr>
          <w:sz w:val="20"/>
          <w:szCs w:val="20"/>
          <w:color w:val="auto"/>
        </w:rPr>
      </w:pPr>
    </w:p>
    <w:p>
      <w:pPr>
        <w:sectPr>
          <w:pgSz w:w="11900" w:h="16838" w:orient="portrait"/>
          <w:cols w:equalWidth="0" w:num="2">
            <w:col w:w="3940" w:space="720"/>
            <w:col w:w="5499"/>
          </w:cols>
          <w:pgMar w:left="300" w:top="378"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2"/>
          <w:szCs w:val="12"/>
          <w:color w:val="auto"/>
        </w:rPr>
        <w:t>Use of Proceeds</w:t>
      </w:r>
    </w:p>
    <w:p>
      <w:pPr>
        <w:spacing w:after="0" w:line="20" w:lineRule="exact"/>
        <w:rPr>
          <w:sz w:val="20"/>
          <w:szCs w:val="20"/>
          <w:color w:val="auto"/>
        </w:rPr>
      </w:pPr>
      <w:r>
        <w:rPr>
          <w:sz w:val="20"/>
          <w:szCs w:val="20"/>
          <w:color w:val="auto"/>
        </w:rPr>
        <w:br w:type="column"/>
      </w:r>
    </w:p>
    <w:p>
      <w:pPr>
        <w:ind w:right="1039"/>
        <w:spacing w:after="0" w:line="264" w:lineRule="auto"/>
        <w:rPr>
          <w:sz w:val="20"/>
          <w:szCs w:val="20"/>
          <w:color w:val="auto"/>
        </w:rPr>
      </w:pPr>
      <w:r>
        <w:rPr>
          <w:rFonts w:ascii="Times New Roman" w:cs="Times New Roman" w:eastAsia="Times New Roman" w:hAnsi="Times New Roman"/>
          <w:sz w:val="14"/>
          <w:szCs w:val="14"/>
          <w:color w:val="auto"/>
        </w:rPr>
        <w:t>We will not receive any proceeds from the Exchange Offers or the issuance of the Exchange Notes.</w:t>
      </w:r>
    </w:p>
    <w:p>
      <w:pPr>
        <w:spacing w:after="0" w:line="156" w:lineRule="exact"/>
        <w:rPr>
          <w:sz w:val="20"/>
          <w:szCs w:val="20"/>
          <w:color w:val="auto"/>
        </w:rPr>
      </w:pPr>
    </w:p>
    <w:p>
      <w:pPr>
        <w:sectPr>
          <w:pgSz w:w="11900" w:h="16838" w:orient="portrait"/>
          <w:cols w:equalWidth="0" w:num="2">
            <w:col w:w="3940" w:space="720"/>
            <w:col w:w="5499"/>
          </w:cols>
          <w:pgMar w:left="300" w:top="378"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2"/>
          <w:szCs w:val="12"/>
          <w:color w:val="auto"/>
        </w:rPr>
        <w:t>Exchange Agent, Information Agent</w:t>
      </w:r>
    </w:p>
    <w:p>
      <w:pPr>
        <w:spacing w:after="0" w:line="20" w:lineRule="exact"/>
        <w:rPr>
          <w:sz w:val="20"/>
          <w:szCs w:val="20"/>
          <w:color w:val="auto"/>
        </w:rPr>
      </w:pPr>
      <w:r>
        <w:rPr>
          <w:sz w:val="20"/>
          <w:szCs w:val="20"/>
          <w:color w:val="auto"/>
        </w:rPr>
        <w:br w:type="column"/>
      </w:r>
    </w:p>
    <w:p>
      <w:pPr>
        <w:ind w:right="899"/>
        <w:spacing w:after="0" w:line="264" w:lineRule="auto"/>
        <w:rPr>
          <w:sz w:val="20"/>
          <w:szCs w:val="20"/>
          <w:color w:val="auto"/>
        </w:rPr>
      </w:pPr>
      <w:r>
        <w:rPr>
          <w:rFonts w:ascii="Times New Roman" w:cs="Times New Roman" w:eastAsia="Times New Roman" w:hAnsi="Times New Roman"/>
          <w:sz w:val="14"/>
          <w:szCs w:val="14"/>
          <w:color w:val="auto"/>
        </w:rPr>
        <w:t>D.F. King &amp; Co., Inc. is serving as the exchange agent and information agent for the Exchange Offers (the “</w:t>
      </w:r>
      <w:r>
        <w:rPr>
          <w:rFonts w:ascii="Times New Roman" w:cs="Times New Roman" w:eastAsia="Times New Roman" w:hAnsi="Times New Roman"/>
          <w:sz w:val="14"/>
          <w:szCs w:val="14"/>
          <w:b w:val="1"/>
          <w:bCs w:val="1"/>
          <w:color w:val="auto"/>
        </w:rPr>
        <w:t>Exchange Agent</w:t>
      </w:r>
      <w:r>
        <w:rPr>
          <w:rFonts w:ascii="Times New Roman" w:cs="Times New Roman" w:eastAsia="Times New Roman" w:hAnsi="Times New Roman"/>
          <w:sz w:val="14"/>
          <w:szCs w:val="14"/>
          <w:color w:val="auto"/>
        </w:rPr>
        <w:t>” or the “</w:t>
      </w:r>
      <w:r>
        <w:rPr>
          <w:rFonts w:ascii="Times New Roman" w:cs="Times New Roman" w:eastAsia="Times New Roman" w:hAnsi="Times New Roman"/>
          <w:sz w:val="14"/>
          <w:szCs w:val="14"/>
          <w:b w:val="1"/>
          <w:bCs w:val="1"/>
          <w:color w:val="auto"/>
        </w:rPr>
        <w:t>Information Agent</w:t>
      </w:r>
      <w:r>
        <w:rPr>
          <w:rFonts w:ascii="Times New Roman" w:cs="Times New Roman" w:eastAsia="Times New Roman" w:hAnsi="Times New Roman"/>
          <w:sz w:val="14"/>
          <w:szCs w:val="14"/>
          <w:color w:val="auto"/>
        </w:rPr>
        <w:t>”).</w:t>
      </w:r>
    </w:p>
    <w:p>
      <w:pPr>
        <w:spacing w:after="0" w:line="132" w:lineRule="exact"/>
        <w:rPr>
          <w:sz w:val="20"/>
          <w:szCs w:val="20"/>
          <w:color w:val="auto"/>
        </w:rPr>
      </w:pPr>
    </w:p>
    <w:p>
      <w:pPr>
        <w:sectPr>
          <w:pgSz w:w="11900" w:h="16838" w:orient="portrait"/>
          <w:cols w:equalWidth="0" w:num="2">
            <w:col w:w="3940" w:space="720"/>
            <w:col w:w="5499"/>
          </w:cols>
          <w:pgMar w:left="300" w:top="378" w:right="1440" w:bottom="1440" w:gutter="0" w:footer="0" w:header="0"/>
          <w:type w:val="continuous"/>
        </w:sectPr>
      </w:pPr>
    </w:p>
    <w:p>
      <w:pPr>
        <w:ind w:left="1620" w:right="559"/>
        <w:spacing w:after="0" w:line="256" w:lineRule="auto"/>
        <w:rPr>
          <w:sz w:val="20"/>
          <w:szCs w:val="20"/>
          <w:color w:val="auto"/>
        </w:rPr>
      </w:pPr>
      <w:r>
        <w:rPr>
          <w:rFonts w:ascii="Times New Roman" w:cs="Times New Roman" w:eastAsia="Times New Roman" w:hAnsi="Times New Roman"/>
          <w:sz w:val="14"/>
          <w:szCs w:val="14"/>
          <w:b w:val="1"/>
          <w:bCs w:val="1"/>
          <w:color w:val="auto"/>
        </w:rPr>
        <w:t>We may amend or supplement this prospectus at any time to add, update or change the information contained in this prospectus. You should read this prospectus and any amendment or supplement hereto, together with the documents incorporated by reference herein and the additional information described under “Where You Can Find More Information.”</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78" w:right="1440"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158115</wp:posOffset>
            </wp:positionV>
            <wp:extent cx="5293360" cy="4761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93360" cy="4761865"/>
                    </a:xfrm>
                    <a:prstGeom prst="rect">
                      <a:avLst/>
                    </a:prstGeom>
                    <a:noFill/>
                  </pic:spPr>
                </pic:pic>
              </a:graphicData>
            </a:graphic>
          </wp:anchor>
        </w:drawing>
      </w:r>
    </w:p>
    <w:p>
      <w:pPr>
        <w:spacing w:after="0" w:line="3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Exchange Notes</w:t>
      </w:r>
    </w:p>
    <w:p>
      <w:pPr>
        <w:spacing w:after="0" w:line="168" w:lineRule="exact"/>
        <w:rPr>
          <w:sz w:val="20"/>
          <w:szCs w:val="20"/>
          <w:color w:val="auto"/>
        </w:rPr>
      </w:pPr>
    </w:p>
    <w:p>
      <w:pPr>
        <w:ind w:left="1620" w:right="659"/>
        <w:spacing w:after="0" w:line="352" w:lineRule="auto"/>
        <w:rPr>
          <w:sz w:val="20"/>
          <w:szCs w:val="20"/>
          <w:color w:val="auto"/>
        </w:rPr>
      </w:pPr>
      <w:r>
        <w:rPr>
          <w:rFonts w:ascii="Times New Roman" w:cs="Times New Roman" w:eastAsia="Times New Roman" w:hAnsi="Times New Roman"/>
          <w:sz w:val="12"/>
          <w:szCs w:val="12"/>
          <w:i w:val="1"/>
          <w:iCs w:val="1"/>
          <w:color w:val="auto"/>
        </w:rPr>
        <w:t>The following summary contains basic information about the Exchange Notes. It does not contain all of the information that may be important to you. For a more complete description of the terms of the Exchange Notes, see “Description of the Exchange Notes and Guarantees.”</w:t>
      </w:r>
    </w:p>
    <w:p>
      <w:pPr>
        <w:spacing w:after="0" w:line="103" w:lineRule="exact"/>
        <w:rPr>
          <w:sz w:val="20"/>
          <w:szCs w:val="20"/>
          <w:color w:val="auto"/>
        </w:rPr>
      </w:pPr>
    </w:p>
    <w:tbl>
      <w:tblPr>
        <w:tblLayout w:type="fixed"/>
        <w:tblInd w:w="1480" w:type="dxa"/>
        <w:tblCellMar>
          <w:top w:w="0" w:type="dxa"/>
          <w:left w:w="0" w:type="dxa"/>
          <w:bottom w:w="0" w:type="dxa"/>
          <w:right w:w="0" w:type="dxa"/>
        </w:tblCellMar>
      </w:tblPr>
      <w:tr>
        <w:trPr>
          <w:trHeight w:val="179"/>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Issuer</w:t>
            </w:r>
          </w:p>
        </w:tc>
        <w:tc>
          <w:tcPr>
            <w:tcW w:w="5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Shell Finance US Inc. (“</w:t>
            </w:r>
            <w:r>
              <w:rPr>
                <w:rFonts w:ascii="Times New Roman" w:cs="Times New Roman" w:eastAsia="Times New Roman" w:hAnsi="Times New Roman"/>
                <w:sz w:val="14"/>
                <w:szCs w:val="14"/>
                <w:b w:val="1"/>
                <w:bCs w:val="1"/>
                <w:color w:val="auto"/>
              </w:rPr>
              <w:t>Shell Finance US</w:t>
            </w:r>
            <w:r>
              <w:rPr>
                <w:rFonts w:ascii="Times New Roman" w:cs="Times New Roman" w:eastAsia="Times New Roman" w:hAnsi="Times New Roman"/>
                <w:sz w:val="14"/>
                <w:szCs w:val="14"/>
                <w:color w:val="auto"/>
              </w:rPr>
              <w:t>”)</w:t>
            </w:r>
          </w:p>
        </w:tc>
      </w:tr>
      <w:tr>
        <w:trPr>
          <w:trHeight w:val="327"/>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Guarantor</w:t>
            </w:r>
          </w:p>
        </w:tc>
        <w:tc>
          <w:tcPr>
            <w:tcW w:w="5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Shell plc (“</w:t>
            </w:r>
            <w:r>
              <w:rPr>
                <w:rFonts w:ascii="Times New Roman" w:cs="Times New Roman" w:eastAsia="Times New Roman" w:hAnsi="Times New Roman"/>
                <w:sz w:val="14"/>
                <w:szCs w:val="14"/>
                <w:b w:val="1"/>
                <w:bCs w:val="1"/>
                <w:color w:val="auto"/>
              </w:rPr>
              <w:t>Shell</w:t>
            </w:r>
            <w:r>
              <w:rPr>
                <w:rFonts w:ascii="Times New Roman" w:cs="Times New Roman" w:eastAsia="Times New Roman" w:hAnsi="Times New Roman"/>
                <w:sz w:val="14"/>
                <w:szCs w:val="14"/>
                <w:color w:val="auto"/>
              </w:rPr>
              <w:t>”)</w:t>
            </w:r>
          </w:p>
        </w:tc>
      </w:tr>
      <w:tr>
        <w:trPr>
          <w:trHeight w:val="315"/>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Exchange Notes Offered</w:t>
            </w:r>
          </w:p>
        </w:tc>
        <w:tc>
          <w:tcPr>
            <w:tcW w:w="5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 exchange for the Restricted Notes, we are offering the following Exchange Notes in a total</w:t>
            </w:r>
          </w:p>
        </w:tc>
      </w:tr>
      <w:tr>
        <w:trPr>
          <w:trHeight w:val="175"/>
        </w:trPr>
        <w:tc>
          <w:tcPr>
            <w:tcW w:w="2860" w:type="dxa"/>
            <w:vAlign w:val="bottom"/>
          </w:tcPr>
          <w:p>
            <w:pPr>
              <w:spacing w:after="0"/>
              <w:rPr>
                <w:sz w:val="15"/>
                <w:szCs w:val="15"/>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aggregate principal amount that will not be known until after the Expiration Time:</w:t>
            </w:r>
          </w:p>
        </w:tc>
      </w:tr>
      <w:tr>
        <w:trPr>
          <w:trHeight w:val="347"/>
        </w:trPr>
        <w:tc>
          <w:tcPr>
            <w:tcW w:w="2860" w:type="dxa"/>
            <w:vAlign w:val="bottom"/>
          </w:tcPr>
          <w:p>
            <w:pPr>
              <w:spacing w:after="0"/>
              <w:rPr>
                <w:sz w:val="24"/>
                <w:szCs w:val="24"/>
                <w:color w:val="auto"/>
              </w:rPr>
            </w:pPr>
          </w:p>
        </w:tc>
        <w:tc>
          <w:tcPr>
            <w:tcW w:w="5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  3.875% Guaranteed Notes due 2028</w:t>
            </w:r>
          </w:p>
        </w:tc>
      </w:tr>
      <w:tr>
        <w:trPr>
          <w:trHeight w:val="347"/>
        </w:trPr>
        <w:tc>
          <w:tcPr>
            <w:tcW w:w="2860" w:type="dxa"/>
            <w:vAlign w:val="bottom"/>
          </w:tcPr>
          <w:p>
            <w:pPr>
              <w:spacing w:after="0"/>
              <w:rPr>
                <w:sz w:val="24"/>
                <w:szCs w:val="24"/>
                <w:color w:val="auto"/>
              </w:rPr>
            </w:pPr>
          </w:p>
        </w:tc>
        <w:tc>
          <w:tcPr>
            <w:tcW w:w="5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  6.375% Guaranteed Notes due 2038</w:t>
            </w:r>
          </w:p>
        </w:tc>
      </w:tr>
      <w:tr>
        <w:trPr>
          <w:trHeight w:val="347"/>
        </w:trPr>
        <w:tc>
          <w:tcPr>
            <w:tcW w:w="2860" w:type="dxa"/>
            <w:vAlign w:val="bottom"/>
          </w:tcPr>
          <w:p>
            <w:pPr>
              <w:spacing w:after="0"/>
              <w:rPr>
                <w:sz w:val="24"/>
                <w:szCs w:val="24"/>
                <w:color w:val="auto"/>
              </w:rPr>
            </w:pPr>
          </w:p>
        </w:tc>
        <w:tc>
          <w:tcPr>
            <w:tcW w:w="5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  5.500% Guaranteed Notes due 2040</w:t>
            </w:r>
          </w:p>
        </w:tc>
      </w:tr>
      <w:tr>
        <w:trPr>
          <w:trHeight w:val="347"/>
        </w:trPr>
        <w:tc>
          <w:tcPr>
            <w:tcW w:w="2860" w:type="dxa"/>
            <w:vAlign w:val="bottom"/>
          </w:tcPr>
          <w:p>
            <w:pPr>
              <w:spacing w:after="0"/>
              <w:rPr>
                <w:sz w:val="24"/>
                <w:szCs w:val="24"/>
                <w:color w:val="auto"/>
              </w:rPr>
            </w:pPr>
          </w:p>
        </w:tc>
        <w:tc>
          <w:tcPr>
            <w:tcW w:w="5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  5.125% Guaranteed Notes due 2041</w:t>
            </w:r>
          </w:p>
        </w:tc>
      </w:tr>
      <w:tr>
        <w:trPr>
          <w:trHeight w:val="347"/>
        </w:trPr>
        <w:tc>
          <w:tcPr>
            <w:tcW w:w="2860" w:type="dxa"/>
            <w:vAlign w:val="bottom"/>
          </w:tcPr>
          <w:p>
            <w:pPr>
              <w:spacing w:after="0"/>
              <w:rPr>
                <w:sz w:val="24"/>
                <w:szCs w:val="24"/>
                <w:color w:val="auto"/>
              </w:rPr>
            </w:pPr>
          </w:p>
        </w:tc>
        <w:tc>
          <w:tcPr>
            <w:tcW w:w="5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  3.125% Guaranteed Notes due 2049</w:t>
            </w:r>
          </w:p>
        </w:tc>
      </w:tr>
      <w:tr>
        <w:trPr>
          <w:trHeight w:val="347"/>
        </w:trPr>
        <w:tc>
          <w:tcPr>
            <w:tcW w:w="2860" w:type="dxa"/>
            <w:vAlign w:val="bottom"/>
          </w:tcPr>
          <w:p>
            <w:pPr>
              <w:spacing w:after="0"/>
              <w:rPr>
                <w:sz w:val="24"/>
                <w:szCs w:val="24"/>
                <w:color w:val="auto"/>
              </w:rPr>
            </w:pPr>
          </w:p>
        </w:tc>
        <w:tc>
          <w:tcPr>
            <w:tcW w:w="5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  3.000% Guaranteed Notes due 2051</w:t>
            </w:r>
          </w:p>
        </w:tc>
      </w:tr>
      <w:tr>
        <w:trPr>
          <w:trHeight w:val="315"/>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99"/>
              </w:rPr>
              <w:t>Interest Rates; Interest Payment Dates; Maturity</w:t>
            </w:r>
          </w:p>
        </w:tc>
        <w:tc>
          <w:tcPr>
            <w:tcW w:w="5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Each series of Exchange Notes will have the same interest rate, interest payment dates and</w:t>
            </w:r>
          </w:p>
        </w:tc>
      </w:tr>
      <w:tr>
        <w:trPr>
          <w:trHeight w:val="163"/>
        </w:trPr>
        <w:tc>
          <w:tcPr>
            <w:tcW w:w="2860" w:type="dxa"/>
            <w:vAlign w:val="bottom"/>
          </w:tcPr>
          <w:p>
            <w:pPr>
              <w:spacing w:after="0"/>
              <w:rPr>
                <w:sz w:val="14"/>
                <w:szCs w:val="14"/>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maturity date as the corresponding series of Restricted Notes for which they are being offered</w:t>
            </w:r>
          </w:p>
        </w:tc>
      </w:tr>
      <w:tr>
        <w:trPr>
          <w:trHeight w:val="175"/>
        </w:trPr>
        <w:tc>
          <w:tcPr>
            <w:tcW w:w="2860" w:type="dxa"/>
            <w:vAlign w:val="bottom"/>
          </w:tcPr>
          <w:p>
            <w:pPr>
              <w:spacing w:after="0"/>
              <w:rPr>
                <w:sz w:val="15"/>
                <w:szCs w:val="15"/>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 exchange.</w:t>
            </w:r>
          </w:p>
        </w:tc>
      </w:tr>
      <w:tr>
        <w:trPr>
          <w:trHeight w:val="325"/>
        </w:trPr>
        <w:tc>
          <w:tcPr>
            <w:tcW w:w="286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Each Exchange Note will bear interest from the most recent interest payment date on which</w:t>
            </w:r>
          </w:p>
        </w:tc>
      </w:tr>
      <w:tr>
        <w:trPr>
          <w:trHeight w:val="163"/>
        </w:trPr>
        <w:tc>
          <w:tcPr>
            <w:tcW w:w="2860" w:type="dxa"/>
            <w:vAlign w:val="bottom"/>
          </w:tcPr>
          <w:p>
            <w:pPr>
              <w:spacing w:after="0"/>
              <w:rPr>
                <w:sz w:val="14"/>
                <w:szCs w:val="14"/>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has been paid on the corresponding Restricted Note or, if no interest has yet been paid</w:t>
            </w:r>
          </w:p>
        </w:tc>
      </w:tr>
      <w:tr>
        <w:trPr>
          <w:trHeight w:val="163"/>
        </w:trPr>
        <w:tc>
          <w:tcPr>
            <w:tcW w:w="2860" w:type="dxa"/>
            <w:vAlign w:val="bottom"/>
          </w:tcPr>
          <w:p>
            <w:pPr>
              <w:spacing w:after="0"/>
              <w:rPr>
                <w:sz w:val="14"/>
                <w:szCs w:val="14"/>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on the corresponding Restricted Note, the corresponding debt security issued by Shell</w:t>
            </w:r>
          </w:p>
        </w:tc>
      </w:tr>
      <w:tr>
        <w:trPr>
          <w:trHeight w:val="163"/>
        </w:trPr>
        <w:tc>
          <w:tcPr>
            <w:tcW w:w="2860" w:type="dxa"/>
            <w:vAlign w:val="bottom"/>
          </w:tcPr>
          <w:p>
            <w:pPr>
              <w:spacing w:after="0"/>
              <w:rPr>
                <w:sz w:val="14"/>
                <w:szCs w:val="14"/>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International Finance or BGEC (as applicable) for which such Restricted Note was exchanged.</w:t>
            </w:r>
          </w:p>
        </w:tc>
      </w:tr>
      <w:tr>
        <w:trPr>
          <w:trHeight w:val="163"/>
        </w:trPr>
        <w:tc>
          <w:tcPr>
            <w:tcW w:w="2860" w:type="dxa"/>
            <w:vAlign w:val="bottom"/>
          </w:tcPr>
          <w:p>
            <w:pPr>
              <w:spacing w:after="0"/>
              <w:rPr>
                <w:sz w:val="14"/>
                <w:szCs w:val="14"/>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Consequently, holders of Exchange Notes will receive the same interest payments that they</w:t>
            </w:r>
          </w:p>
        </w:tc>
      </w:tr>
      <w:tr>
        <w:trPr>
          <w:trHeight w:val="163"/>
        </w:trPr>
        <w:tc>
          <w:tcPr>
            <w:tcW w:w="2860" w:type="dxa"/>
            <w:vAlign w:val="bottom"/>
          </w:tcPr>
          <w:p>
            <w:pPr>
              <w:spacing w:after="0"/>
              <w:rPr>
                <w:sz w:val="14"/>
                <w:szCs w:val="14"/>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would have received had they not exchanged their Restricted Notes in the applicable Exchange</w:t>
            </w:r>
          </w:p>
        </w:tc>
      </w:tr>
      <w:tr>
        <w:trPr>
          <w:trHeight w:val="175"/>
        </w:trPr>
        <w:tc>
          <w:tcPr>
            <w:tcW w:w="2860" w:type="dxa"/>
            <w:vAlign w:val="bottom"/>
          </w:tcPr>
          <w:p>
            <w:pPr>
              <w:spacing w:after="0"/>
              <w:rPr>
                <w:sz w:val="15"/>
                <w:szCs w:val="15"/>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Offer.</w:t>
            </w:r>
          </w:p>
        </w:tc>
      </w:tr>
      <w:tr>
        <w:trPr>
          <w:trHeight w:val="335"/>
        </w:trPr>
        <w:tc>
          <w:tcPr>
            <w:tcW w:w="2860" w:type="dxa"/>
            <w:vAlign w:val="bottom"/>
          </w:tcPr>
          <w:p>
            <w:pPr>
              <w:spacing w:after="0"/>
              <w:rPr>
                <w:sz w:val="24"/>
                <w:szCs w:val="24"/>
                <w:color w:val="auto"/>
              </w:rPr>
            </w:pPr>
          </w:p>
        </w:tc>
        <w:tc>
          <w:tcPr>
            <w:tcW w:w="5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  The Exchange 3.875% 2028 Notes will bear interest at 3.875% per annum and mature</w:t>
            </w:r>
          </w:p>
        </w:tc>
      </w:tr>
      <w:tr>
        <w:trPr>
          <w:trHeight w:val="163"/>
        </w:trPr>
        <w:tc>
          <w:tcPr>
            <w:tcW w:w="2860" w:type="dxa"/>
            <w:vAlign w:val="bottom"/>
          </w:tcPr>
          <w:p>
            <w:pPr>
              <w:spacing w:after="0"/>
              <w:rPr>
                <w:sz w:val="14"/>
                <w:szCs w:val="14"/>
                <w:color w:val="auto"/>
              </w:rPr>
            </w:pPr>
          </w:p>
        </w:tc>
        <w:tc>
          <w:tcPr>
            <w:tcW w:w="54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on November 13, 2028. We will pay interest on the Exchange 3.875% 2028 Notes on</w:t>
            </w:r>
          </w:p>
        </w:tc>
      </w:tr>
      <w:tr>
        <w:trPr>
          <w:trHeight w:val="175"/>
        </w:trPr>
        <w:tc>
          <w:tcPr>
            <w:tcW w:w="2860" w:type="dxa"/>
            <w:vAlign w:val="bottom"/>
          </w:tcPr>
          <w:p>
            <w:pPr>
              <w:spacing w:after="0"/>
              <w:rPr>
                <w:sz w:val="15"/>
                <w:szCs w:val="15"/>
                <w:color w:val="auto"/>
              </w:rPr>
            </w:pPr>
          </w:p>
        </w:tc>
        <w:tc>
          <w:tcPr>
            <w:tcW w:w="54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May 13 and November 13 of each year.</w:t>
            </w:r>
          </w:p>
        </w:tc>
      </w:tr>
      <w:tr>
        <w:trPr>
          <w:trHeight w:val="335"/>
        </w:trPr>
        <w:tc>
          <w:tcPr>
            <w:tcW w:w="2860" w:type="dxa"/>
            <w:vAlign w:val="bottom"/>
          </w:tcPr>
          <w:p>
            <w:pPr>
              <w:spacing w:after="0"/>
              <w:rPr>
                <w:sz w:val="24"/>
                <w:szCs w:val="24"/>
                <w:color w:val="auto"/>
              </w:rPr>
            </w:pPr>
          </w:p>
        </w:tc>
        <w:tc>
          <w:tcPr>
            <w:tcW w:w="5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  The Exchange 6.375% 2038 Notes will bear interest at 6.375% per annum and mature</w:t>
            </w:r>
          </w:p>
        </w:tc>
      </w:tr>
      <w:tr>
        <w:trPr>
          <w:trHeight w:val="163"/>
        </w:trPr>
        <w:tc>
          <w:tcPr>
            <w:tcW w:w="2860" w:type="dxa"/>
            <w:vAlign w:val="bottom"/>
          </w:tcPr>
          <w:p>
            <w:pPr>
              <w:spacing w:after="0"/>
              <w:rPr>
                <w:sz w:val="14"/>
                <w:szCs w:val="14"/>
                <w:color w:val="auto"/>
              </w:rPr>
            </w:pPr>
          </w:p>
        </w:tc>
        <w:tc>
          <w:tcPr>
            <w:tcW w:w="54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on December 15, 2038. We will pay interest on the Exchange 6.375% 2038 Notes on</w:t>
            </w:r>
          </w:p>
        </w:tc>
      </w:tr>
      <w:tr>
        <w:trPr>
          <w:trHeight w:val="175"/>
        </w:trPr>
        <w:tc>
          <w:tcPr>
            <w:tcW w:w="2860" w:type="dxa"/>
            <w:vAlign w:val="bottom"/>
          </w:tcPr>
          <w:p>
            <w:pPr>
              <w:spacing w:after="0"/>
              <w:rPr>
                <w:sz w:val="15"/>
                <w:szCs w:val="15"/>
                <w:color w:val="auto"/>
              </w:rPr>
            </w:pPr>
          </w:p>
        </w:tc>
        <w:tc>
          <w:tcPr>
            <w:tcW w:w="54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June 15 and December 15 of each year.</w:t>
            </w:r>
          </w:p>
        </w:tc>
      </w:tr>
      <w:tr>
        <w:trPr>
          <w:trHeight w:val="129"/>
        </w:trPr>
        <w:tc>
          <w:tcPr>
            <w:tcW w:w="2860" w:type="dxa"/>
            <w:vAlign w:val="bottom"/>
            <w:tcBorders>
              <w:bottom w:val="single" w:sz="8" w:color="auto"/>
            </w:tcBorders>
          </w:tcPr>
          <w:p>
            <w:pPr>
              <w:spacing w:after="0"/>
              <w:rPr>
                <w:sz w:val="11"/>
                <w:szCs w:val="11"/>
                <w:color w:val="auto"/>
              </w:rPr>
            </w:pPr>
          </w:p>
        </w:tc>
        <w:tc>
          <w:tcPr>
            <w:tcW w:w="5480" w:type="dxa"/>
            <w:vAlign w:val="bottom"/>
            <w:tcBorders>
              <w:bottom w:val="single" w:sz="8" w:color="auto"/>
            </w:tcBorders>
          </w:tcPr>
          <w:p>
            <w:pPr>
              <w:spacing w:after="0"/>
              <w:rPr>
                <w:sz w:val="11"/>
                <w:szCs w:val="11"/>
                <w:color w:val="auto"/>
              </w:rPr>
            </w:pPr>
          </w:p>
        </w:tc>
      </w:tr>
      <w:tr>
        <w:trPr>
          <w:trHeight w:val="270"/>
        </w:trPr>
        <w:tc>
          <w:tcPr>
            <w:tcW w:w="2860" w:type="dxa"/>
            <w:vAlign w:val="bottom"/>
          </w:tcPr>
          <w:p>
            <w:pPr>
              <w:spacing w:after="0"/>
              <w:rPr>
                <w:sz w:val="23"/>
                <w:szCs w:val="23"/>
                <w:color w:val="auto"/>
              </w:rPr>
            </w:pPr>
          </w:p>
        </w:tc>
        <w:tc>
          <w:tcPr>
            <w:tcW w:w="548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6</w:t>
            </w:r>
          </w:p>
        </w:tc>
      </w:tr>
    </w:tbl>
    <w:p>
      <w:pPr>
        <w:sectPr>
          <w:pgSz w:w="11900" w:h="16838" w:orient="portrait"/>
          <w:cols w:equalWidth="0" w:num="1">
            <w:col w:w="10159"/>
          </w:cols>
          <w:pgMar w:left="300" w:top="378"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158115</wp:posOffset>
            </wp:positionV>
            <wp:extent cx="5293360" cy="4483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93360" cy="448310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4780"/>
        <w:spacing w:after="0"/>
        <w:tabs>
          <w:tab w:leader="none" w:pos="4960" w:val="left"/>
        </w:tabs>
        <w:rPr>
          <w:sz w:val="20"/>
          <w:szCs w:val="20"/>
          <w:color w:val="auto"/>
        </w:rPr>
      </w:pPr>
      <w:r>
        <w:rPr>
          <w:rFonts w:ascii="Times New Roman" w:cs="Times New Roman" w:eastAsia="Times New Roman" w:hAnsi="Times New Roman"/>
          <w:sz w:val="12"/>
          <w:szCs w:val="12"/>
          <w:color w:val="auto"/>
        </w:rPr>
        <w:t>•</w:t>
        <w:tab/>
        <w:t>The Exchange 5.500% 2040 Notes will bear interest at 5.500% per annum and mature</w:t>
      </w:r>
    </w:p>
    <w:p>
      <w:pPr>
        <w:spacing w:after="0" w:line="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color w:val="auto"/>
        </w:rPr>
        <w:t>on March 25, 2040. We will pay interest on the Exchange 5.500% 2040 Notes on</w:t>
      </w:r>
    </w:p>
    <w:p>
      <w:pPr>
        <w:spacing w:after="0" w:line="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color w:val="auto"/>
        </w:rPr>
        <w:t>March 25 and September 25 of each year.</w:t>
      </w:r>
    </w:p>
    <w:p>
      <w:pPr>
        <w:spacing w:after="0" w:line="174" w:lineRule="exact"/>
        <w:rPr>
          <w:sz w:val="20"/>
          <w:szCs w:val="20"/>
          <w:color w:val="auto"/>
        </w:rPr>
      </w:pPr>
    </w:p>
    <w:tbl>
      <w:tblPr>
        <w:tblLayout w:type="fixed"/>
        <w:tblInd w:w="1620" w:type="dxa"/>
        <w:tblCellMar>
          <w:top w:w="0" w:type="dxa"/>
          <w:left w:w="0" w:type="dxa"/>
          <w:bottom w:w="0" w:type="dxa"/>
          <w:right w:w="0" w:type="dxa"/>
        </w:tblCellMar>
      </w:tblPr>
      <w:tr>
        <w:trPr>
          <w:trHeight w:val="163"/>
        </w:trPr>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2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w w:val="98"/>
              </w:rPr>
              <w:t>•  The Exchange 5.125% 2041 Notes will bear interest at 5.125% per annum and mature</w:t>
            </w:r>
          </w:p>
        </w:tc>
      </w:tr>
      <w:tr>
        <w:trPr>
          <w:trHeight w:val="163"/>
        </w:trPr>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2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on October 15, 2041. We will pay interest on the Exchange 5.125% 2041 Notes on</w:t>
            </w:r>
          </w:p>
        </w:tc>
      </w:tr>
      <w:tr>
        <w:trPr>
          <w:trHeight w:val="175"/>
        </w:trPr>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April 15 and October 15 of each year.</w:t>
            </w:r>
          </w:p>
        </w:tc>
        <w:tc>
          <w:tcPr>
            <w:tcW w:w="1780" w:type="dxa"/>
            <w:vAlign w:val="bottom"/>
          </w:tcPr>
          <w:p>
            <w:pPr>
              <w:spacing w:after="0"/>
              <w:rPr>
                <w:sz w:val="15"/>
                <w:szCs w:val="15"/>
                <w:color w:val="auto"/>
              </w:rPr>
            </w:pPr>
          </w:p>
        </w:tc>
      </w:tr>
      <w:tr>
        <w:trPr>
          <w:trHeight w:val="335"/>
        </w:trPr>
        <w:tc>
          <w:tcPr>
            <w:tcW w:w="2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w w:val="98"/>
              </w:rPr>
              <w:t>•  The Exchange 3.125% 2049 Notes will bear interest at 3.125% per annum and mature</w:t>
            </w:r>
          </w:p>
        </w:tc>
      </w:tr>
      <w:tr>
        <w:trPr>
          <w:trHeight w:val="163"/>
        </w:trPr>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2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w w:val="98"/>
              </w:rPr>
              <w:t>on November 7, 2049. We will pay interest on the Exchange 3.125% 2049 Notes on</w:t>
            </w:r>
          </w:p>
        </w:tc>
      </w:tr>
      <w:tr>
        <w:trPr>
          <w:trHeight w:val="175"/>
        </w:trPr>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May 7 and November 7 of each year.</w:t>
            </w:r>
          </w:p>
        </w:tc>
        <w:tc>
          <w:tcPr>
            <w:tcW w:w="1780" w:type="dxa"/>
            <w:vAlign w:val="bottom"/>
          </w:tcPr>
          <w:p>
            <w:pPr>
              <w:spacing w:after="0"/>
              <w:rPr>
                <w:sz w:val="15"/>
                <w:szCs w:val="15"/>
                <w:color w:val="auto"/>
              </w:rPr>
            </w:pPr>
          </w:p>
        </w:tc>
      </w:tr>
      <w:tr>
        <w:trPr>
          <w:trHeight w:val="335"/>
        </w:trPr>
        <w:tc>
          <w:tcPr>
            <w:tcW w:w="2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w w:val="98"/>
              </w:rPr>
              <w:t>•  The Exchange 3.000% 2051 Notes will bear interest at 3.000% per annum and mature</w:t>
            </w:r>
          </w:p>
        </w:tc>
      </w:tr>
      <w:tr>
        <w:trPr>
          <w:trHeight w:val="163"/>
        </w:trPr>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2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w w:val="97"/>
              </w:rPr>
              <w:t>on November 26, 2051. We will pay interest on the Exchange 3.000% 2051 Notes on</w:t>
            </w:r>
          </w:p>
        </w:tc>
      </w:tr>
      <w:tr>
        <w:trPr>
          <w:trHeight w:val="175"/>
        </w:trPr>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May 26 and November 26 of each year.</w:t>
            </w:r>
          </w:p>
        </w:tc>
        <w:tc>
          <w:tcPr>
            <w:tcW w:w="1780" w:type="dxa"/>
            <w:vAlign w:val="bottom"/>
          </w:tcPr>
          <w:p>
            <w:pPr>
              <w:spacing w:after="0"/>
              <w:rPr>
                <w:sz w:val="15"/>
                <w:szCs w:val="15"/>
                <w:color w:val="auto"/>
              </w:rPr>
            </w:pPr>
          </w:p>
        </w:tc>
      </w:tr>
      <w:tr>
        <w:trPr>
          <w:trHeight w:val="335"/>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Optional Redemption of the Exchange Notes</w:t>
            </w:r>
          </w:p>
        </w:tc>
        <w:tc>
          <w:tcPr>
            <w:tcW w:w="54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w w:val="97"/>
              </w:rPr>
              <w:t>Shell Finance US will have the right to redeem each series of the Exchange Notes at its option,</w:t>
            </w:r>
          </w:p>
        </w:tc>
      </w:tr>
      <w:tr>
        <w:trPr>
          <w:trHeight w:val="163"/>
        </w:trPr>
        <w:tc>
          <w:tcPr>
            <w:tcW w:w="2640" w:type="dxa"/>
            <w:vAlign w:val="bottom"/>
          </w:tcPr>
          <w:p>
            <w:pPr>
              <w:spacing w:after="0"/>
              <w:rPr>
                <w:sz w:val="14"/>
                <w:szCs w:val="14"/>
                <w:color w:val="auto"/>
              </w:rPr>
            </w:pPr>
          </w:p>
        </w:tc>
        <w:tc>
          <w:tcPr>
            <w:tcW w:w="54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in whole or in part, at any time and from time to time, at a redemption price (expressed as a</w:t>
            </w:r>
          </w:p>
        </w:tc>
      </w:tr>
      <w:tr>
        <w:trPr>
          <w:trHeight w:val="163"/>
        </w:trPr>
        <w:tc>
          <w:tcPr>
            <w:tcW w:w="2640" w:type="dxa"/>
            <w:vAlign w:val="bottom"/>
          </w:tcPr>
          <w:p>
            <w:pPr>
              <w:spacing w:after="0"/>
              <w:rPr>
                <w:sz w:val="14"/>
                <w:szCs w:val="14"/>
                <w:color w:val="auto"/>
              </w:rPr>
            </w:pPr>
          </w:p>
        </w:tc>
        <w:tc>
          <w:tcPr>
            <w:tcW w:w="54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w w:val="97"/>
              </w:rPr>
              <w:t>percentage of principal amount and rounded to three decimal places) equal to the greater of: (i)</w:t>
            </w:r>
          </w:p>
        </w:tc>
      </w:tr>
      <w:tr>
        <w:trPr>
          <w:trHeight w:val="163"/>
        </w:trPr>
        <w:tc>
          <w:tcPr>
            <w:tcW w:w="2640" w:type="dxa"/>
            <w:vAlign w:val="bottom"/>
          </w:tcPr>
          <w:p>
            <w:pPr>
              <w:spacing w:after="0"/>
              <w:rPr>
                <w:sz w:val="14"/>
                <w:szCs w:val="14"/>
                <w:color w:val="auto"/>
              </w:rPr>
            </w:pPr>
          </w:p>
        </w:tc>
        <w:tc>
          <w:tcPr>
            <w:tcW w:w="54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w w:val="97"/>
              </w:rPr>
              <w:t>(a) the sum of the present values of the remaining scheduled payments of principal and interest</w:t>
            </w:r>
          </w:p>
        </w:tc>
      </w:tr>
      <w:tr>
        <w:trPr>
          <w:trHeight w:val="163"/>
        </w:trPr>
        <w:tc>
          <w:tcPr>
            <w:tcW w:w="2640" w:type="dxa"/>
            <w:vAlign w:val="bottom"/>
          </w:tcPr>
          <w:p>
            <w:pPr>
              <w:spacing w:after="0"/>
              <w:rPr>
                <w:sz w:val="14"/>
                <w:szCs w:val="14"/>
                <w:color w:val="auto"/>
              </w:rPr>
            </w:pPr>
          </w:p>
        </w:tc>
        <w:tc>
          <w:tcPr>
            <w:tcW w:w="54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w w:val="97"/>
              </w:rPr>
              <w:t>on the applicable series of the Exchange Notes discounted to the applicable redemption date on</w:t>
            </w:r>
          </w:p>
        </w:tc>
      </w:tr>
      <w:tr>
        <w:trPr>
          <w:trHeight w:val="163"/>
        </w:trPr>
        <w:tc>
          <w:tcPr>
            <w:tcW w:w="2640" w:type="dxa"/>
            <w:vAlign w:val="bottom"/>
          </w:tcPr>
          <w:p>
            <w:pPr>
              <w:spacing w:after="0"/>
              <w:rPr>
                <w:sz w:val="14"/>
                <w:szCs w:val="14"/>
                <w:color w:val="auto"/>
              </w:rPr>
            </w:pPr>
          </w:p>
        </w:tc>
        <w:tc>
          <w:tcPr>
            <w:tcW w:w="54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a semi-annual basis (assuming a 360-day year consisting of twelve 30-day months) at the</w:t>
            </w:r>
          </w:p>
        </w:tc>
      </w:tr>
      <w:tr>
        <w:trPr>
          <w:trHeight w:val="163"/>
        </w:trPr>
        <w:tc>
          <w:tcPr>
            <w:tcW w:w="2640" w:type="dxa"/>
            <w:vAlign w:val="bottom"/>
          </w:tcPr>
          <w:p>
            <w:pPr>
              <w:spacing w:after="0"/>
              <w:rPr>
                <w:sz w:val="14"/>
                <w:szCs w:val="14"/>
                <w:color w:val="auto"/>
              </w:rPr>
            </w:pPr>
          </w:p>
        </w:tc>
        <w:tc>
          <w:tcPr>
            <w:tcW w:w="54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Treasury Rate (as defined in “Description of the Exchange Notes and Guarantees”) plus the</w:t>
            </w:r>
          </w:p>
        </w:tc>
      </w:tr>
      <w:tr>
        <w:trPr>
          <w:trHeight w:val="163"/>
        </w:trPr>
        <w:tc>
          <w:tcPr>
            <w:tcW w:w="2640" w:type="dxa"/>
            <w:vAlign w:val="bottom"/>
          </w:tcPr>
          <w:p>
            <w:pPr>
              <w:spacing w:after="0"/>
              <w:rPr>
                <w:sz w:val="14"/>
                <w:szCs w:val="14"/>
                <w:color w:val="auto"/>
              </w:rPr>
            </w:pPr>
          </w:p>
        </w:tc>
        <w:tc>
          <w:tcPr>
            <w:tcW w:w="54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applicable Make-Whole Spread (as set forth in the table below) for such series of Exchange</w:t>
            </w:r>
          </w:p>
        </w:tc>
      </w:tr>
      <w:tr>
        <w:trPr>
          <w:trHeight w:val="163"/>
        </w:trPr>
        <w:tc>
          <w:tcPr>
            <w:tcW w:w="2640" w:type="dxa"/>
            <w:vAlign w:val="bottom"/>
          </w:tcPr>
          <w:p>
            <w:pPr>
              <w:spacing w:after="0"/>
              <w:rPr>
                <w:sz w:val="14"/>
                <w:szCs w:val="14"/>
                <w:color w:val="auto"/>
              </w:rPr>
            </w:pPr>
          </w:p>
        </w:tc>
        <w:tc>
          <w:tcPr>
            <w:tcW w:w="54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Notes, less (b) interest accrued to the applicable date of redemption; and (ii) 100% of the</w:t>
            </w:r>
          </w:p>
        </w:tc>
      </w:tr>
      <w:tr>
        <w:trPr>
          <w:trHeight w:val="163"/>
        </w:trPr>
        <w:tc>
          <w:tcPr>
            <w:tcW w:w="2640" w:type="dxa"/>
            <w:vAlign w:val="bottom"/>
          </w:tcPr>
          <w:p>
            <w:pPr>
              <w:spacing w:after="0"/>
              <w:rPr>
                <w:sz w:val="14"/>
                <w:szCs w:val="14"/>
                <w:color w:val="auto"/>
              </w:rPr>
            </w:pPr>
          </w:p>
        </w:tc>
        <w:tc>
          <w:tcPr>
            <w:tcW w:w="54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principal amount of the Exchange Notes to be redeemed; plus, in either case, accrued and</w:t>
            </w:r>
          </w:p>
        </w:tc>
      </w:tr>
      <w:tr>
        <w:trPr>
          <w:trHeight w:val="175"/>
        </w:trPr>
        <w:tc>
          <w:tcPr>
            <w:tcW w:w="2640" w:type="dxa"/>
            <w:vAlign w:val="bottom"/>
          </w:tcPr>
          <w:p>
            <w:pPr>
              <w:spacing w:after="0"/>
              <w:rPr>
                <w:sz w:val="15"/>
                <w:szCs w:val="15"/>
                <w:color w:val="auto"/>
              </w:rPr>
            </w:pPr>
          </w:p>
        </w:tc>
        <w:tc>
          <w:tcPr>
            <w:tcW w:w="54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unpaid interest thereon to, but not including, the applicable redemption date.</w:t>
            </w:r>
          </w:p>
        </w:tc>
      </w:tr>
      <w:tr>
        <w:trPr>
          <w:trHeight w:val="297"/>
        </w:trPr>
        <w:tc>
          <w:tcPr>
            <w:tcW w:w="2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40" w:type="dxa"/>
            <w:vAlign w:val="bottom"/>
            <w:gridSpan w:val="2"/>
          </w:tcPr>
          <w:p>
            <w:pPr>
              <w:ind w:left="1320"/>
              <w:spacing w:after="0"/>
              <w:rPr>
                <w:sz w:val="20"/>
                <w:szCs w:val="20"/>
                <w:color w:val="auto"/>
              </w:rPr>
            </w:pPr>
            <w:r>
              <w:rPr>
                <w:rFonts w:ascii="Times New Roman" w:cs="Times New Roman" w:eastAsia="Times New Roman" w:hAnsi="Times New Roman"/>
                <w:sz w:val="11"/>
                <w:szCs w:val="11"/>
                <w:b w:val="1"/>
                <w:bCs w:val="1"/>
                <w:color w:val="auto"/>
              </w:rPr>
              <w:t>Title of Series</w:t>
            </w:r>
          </w:p>
        </w:tc>
        <w:tc>
          <w:tcPr>
            <w:tcW w:w="1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Make-Whole Spread</w:t>
            </w:r>
          </w:p>
        </w:tc>
      </w:tr>
      <w:tr>
        <w:trPr>
          <w:trHeight w:val="141"/>
        </w:trPr>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00" w:type="dxa"/>
            <w:vAlign w:val="bottom"/>
            <w:tcBorders>
              <w:top w:val="single" w:sz="8" w:color="auto"/>
            </w:tcBorders>
          </w:tcPr>
          <w:p>
            <w:pPr>
              <w:ind w:left="660"/>
              <w:spacing w:after="0" w:line="141" w:lineRule="exact"/>
              <w:rPr>
                <w:sz w:val="20"/>
                <w:szCs w:val="20"/>
                <w:color w:val="auto"/>
              </w:rPr>
            </w:pPr>
            <w:r>
              <w:rPr>
                <w:rFonts w:ascii="Times New Roman" w:cs="Times New Roman" w:eastAsia="Times New Roman" w:hAnsi="Times New Roman"/>
                <w:sz w:val="14"/>
                <w:szCs w:val="14"/>
                <w:color w:val="auto"/>
              </w:rPr>
              <w:t>6.375% Guaranteed Notes due 2038</w:t>
            </w:r>
          </w:p>
        </w:tc>
        <w:tc>
          <w:tcPr>
            <w:tcW w:w="140" w:type="dxa"/>
            <w:vAlign w:val="bottom"/>
          </w:tcPr>
          <w:p>
            <w:pPr>
              <w:spacing w:after="0"/>
              <w:rPr>
                <w:sz w:val="12"/>
                <w:szCs w:val="12"/>
                <w:color w:val="auto"/>
              </w:rPr>
            </w:pPr>
          </w:p>
        </w:tc>
        <w:tc>
          <w:tcPr>
            <w:tcW w:w="17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50 bps</w:t>
            </w:r>
          </w:p>
        </w:tc>
      </w:tr>
      <w:tr>
        <w:trPr>
          <w:trHeight w:val="163"/>
        </w:trPr>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5.500% Guaranteed Notes due 2040</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14 bps</w:t>
            </w:r>
          </w:p>
        </w:tc>
      </w:tr>
      <w:tr>
        <w:trPr>
          <w:trHeight w:val="175"/>
        </w:trPr>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5.125% Guaranteed Notes due 2041</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35 bps</w:t>
            </w:r>
          </w:p>
        </w:tc>
      </w:tr>
    </w:tbl>
    <w:p>
      <w:pPr>
        <w:spacing w:after="0" w:line="151" w:lineRule="exact"/>
        <w:rPr>
          <w:sz w:val="20"/>
          <w:szCs w:val="20"/>
          <w:color w:val="auto"/>
        </w:rPr>
      </w:pPr>
    </w:p>
    <w:p>
      <w:pPr>
        <w:ind w:left="4440" w:right="539"/>
        <w:spacing w:after="0" w:line="246" w:lineRule="auto"/>
        <w:rPr>
          <w:sz w:val="20"/>
          <w:szCs w:val="20"/>
          <w:color w:val="auto"/>
        </w:rPr>
      </w:pPr>
      <w:r>
        <w:rPr>
          <w:rFonts w:ascii="Times New Roman" w:cs="Times New Roman" w:eastAsia="Times New Roman" w:hAnsi="Times New Roman"/>
          <w:sz w:val="14"/>
          <w:szCs w:val="14"/>
          <w:color w:val="auto"/>
        </w:rPr>
        <w:t xml:space="preserve">Shell Finance US will have the right to redeem each series of the Exchange Notes listed in the immediately following table at its option, in whole or in part, at any time and from time to time </w:t>
      </w:r>
      <w:r>
        <w:rPr>
          <w:rFonts w:ascii="Times New Roman" w:cs="Times New Roman" w:eastAsia="Times New Roman" w:hAnsi="Times New Roman"/>
          <w:sz w:val="14"/>
          <w:szCs w:val="14"/>
          <w:i w:val="1"/>
          <w:iCs w:val="1"/>
          <w:color w:val="auto"/>
        </w:rPr>
        <w:t xml:space="preserve">prior to </w:t>
      </w:r>
      <w:r>
        <w:rPr>
          <w:rFonts w:ascii="Times New Roman" w:cs="Times New Roman" w:eastAsia="Times New Roman" w:hAnsi="Times New Roman"/>
          <w:sz w:val="14"/>
          <w:szCs w:val="14"/>
          <w:color w:val="auto"/>
        </w:rPr>
        <w:t>the applicable par call date (as set forth in the table below, the “</w:t>
      </w:r>
      <w:r>
        <w:rPr>
          <w:rFonts w:ascii="Times New Roman" w:cs="Times New Roman" w:eastAsia="Times New Roman" w:hAnsi="Times New Roman"/>
          <w:sz w:val="14"/>
          <w:szCs w:val="14"/>
          <w:b w:val="1"/>
          <w:bCs w:val="1"/>
          <w:color w:val="auto"/>
        </w:rPr>
        <w:t>Par Call Date</w:t>
      </w:r>
      <w:r>
        <w:rPr>
          <w:rFonts w:ascii="Times New Roman" w:cs="Times New Roman" w:eastAsia="Times New Roman" w:hAnsi="Times New Roman"/>
          <w:sz w:val="14"/>
          <w:szCs w:val="14"/>
          <w:color w:val="auto"/>
        </w:rPr>
        <w:t>”), at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redemption price (expressed as a percentage of principal amount and rounded to three decimal places) equal to the greater of: (i)(a) the sum of the present values of the remaining scheduled payments of principal and interest on the applicable series of the Exchange Notes discounted to the applicable redemption date (assuming the Exchange</w:t>
      </w: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78"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158115</wp:posOffset>
            </wp:positionV>
            <wp:extent cx="5293360" cy="4723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93360" cy="4723130"/>
                    </a:xfrm>
                    <a:prstGeom prst="rect">
                      <a:avLst/>
                    </a:prstGeom>
                    <a:noFill/>
                  </pic:spPr>
                </pic:pic>
              </a:graphicData>
            </a:graphic>
          </wp:anchor>
        </w:drawing>
      </w:r>
    </w:p>
    <w:p>
      <w:pPr>
        <w:spacing w:after="0" w:line="35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Notes to be redeemed matured on the applicable Par Call Date) on a semi-annual basis</w:t>
      </w:r>
    </w:p>
    <w:p>
      <w:pPr>
        <w:spacing w:after="0" w:line="1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(assuming a 360-day year consisting of twelve 30-day months) at the Treasury Rate plus the</w:t>
      </w:r>
    </w:p>
    <w:p>
      <w:pPr>
        <w:spacing w:after="0" w:line="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applicable Make-Whole Spread (as set forth in the table below) for such series of Exchange</w:t>
      </w:r>
    </w:p>
    <w:p>
      <w:pPr>
        <w:spacing w:after="0" w:line="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Notes, less (b) interest accrued to the applicable date of redemption; and (ii) 100% of the</w:t>
      </w:r>
    </w:p>
    <w:p>
      <w:pPr>
        <w:spacing w:after="0" w:line="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principal amount of the Exchange Notes to be redeemed; plus, in either case, accrued and</w:t>
      </w:r>
    </w:p>
    <w:p>
      <w:pPr>
        <w:spacing w:after="0" w:line="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unpaid interest thereon to, but not including, the applicable redemption date.</w:t>
      </w:r>
    </w:p>
    <w:p>
      <w:pPr>
        <w:spacing w:after="0" w:line="133" w:lineRule="exact"/>
        <w:rPr>
          <w:sz w:val="20"/>
          <w:szCs w:val="20"/>
          <w:color w:val="auto"/>
        </w:rPr>
      </w:pPr>
    </w:p>
    <w:tbl>
      <w:tblPr>
        <w:tblLayout w:type="fixed"/>
        <w:tblInd w:w="4460" w:type="dxa"/>
        <w:tblCellMar>
          <w:top w:w="0" w:type="dxa"/>
          <w:left w:w="0" w:type="dxa"/>
          <w:bottom w:w="0" w:type="dxa"/>
          <w:right w:w="0" w:type="dxa"/>
        </w:tblCellMar>
      </w:tblPr>
      <w:tr>
        <w:trPr>
          <w:trHeight w:val="126"/>
        </w:trPr>
        <w:tc>
          <w:tcPr>
            <w:tcW w:w="3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Title of Series</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Make-Whole</w:t>
            </w:r>
          </w:p>
        </w:tc>
        <w:tc>
          <w:tcPr>
            <w:tcW w:w="160" w:type="dxa"/>
            <w:vAlign w:val="bottom"/>
          </w:tcPr>
          <w:p>
            <w:pPr>
              <w:spacing w:after="0"/>
              <w:rPr>
                <w:sz w:val="11"/>
                <w:szCs w:val="11"/>
                <w:color w:val="auto"/>
              </w:rPr>
            </w:pPr>
          </w:p>
        </w:tc>
        <w:tc>
          <w:tcPr>
            <w:tcW w:w="1040" w:type="dxa"/>
            <w:vAlign w:val="bottom"/>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Par Call Date</w:t>
            </w:r>
          </w:p>
        </w:tc>
        <w:tc>
          <w:tcPr>
            <w:tcW w:w="0" w:type="dxa"/>
            <w:vAlign w:val="bottom"/>
          </w:tcPr>
          <w:p>
            <w:pPr>
              <w:spacing w:after="0"/>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Spread</w:t>
            </w: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1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6"/>
              </w:rPr>
              <w:t>3.875% Guaranteed Notes due 2028</w:t>
            </w:r>
          </w:p>
        </w:tc>
        <w:tc>
          <w:tcPr>
            <w:tcW w:w="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15 bps</w:t>
            </w:r>
          </w:p>
        </w:tc>
        <w:tc>
          <w:tcPr>
            <w:tcW w:w="160" w:type="dxa"/>
            <w:vAlign w:val="bottom"/>
          </w:tcPr>
          <w:p>
            <w:pPr>
              <w:spacing w:after="0"/>
              <w:rPr>
                <w:sz w:val="12"/>
                <w:szCs w:val="12"/>
                <w:color w:val="auto"/>
              </w:rPr>
            </w:pPr>
          </w:p>
        </w:tc>
        <w:tc>
          <w:tcPr>
            <w:tcW w:w="10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color w:val="auto"/>
              </w:rPr>
              <w:t>August 13, 2028</w:t>
            </w:r>
          </w:p>
        </w:tc>
        <w:tc>
          <w:tcPr>
            <w:tcW w:w="0" w:type="dxa"/>
            <w:vAlign w:val="bottom"/>
          </w:tcPr>
          <w:p>
            <w:pPr>
              <w:spacing w:after="0"/>
              <w:rPr>
                <w:sz w:val="1"/>
                <w:szCs w:val="1"/>
                <w:color w:val="auto"/>
              </w:rPr>
            </w:pPr>
          </w:p>
        </w:tc>
      </w:tr>
      <w:tr>
        <w:trPr>
          <w:trHeight w:val="163"/>
        </w:trPr>
        <w:tc>
          <w:tcPr>
            <w:tcW w:w="3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6"/>
              </w:rPr>
              <w:t>3.125% Guaranteed Notes due 2049</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15 bps</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May 7, 2049</w:t>
            </w:r>
          </w:p>
        </w:tc>
        <w:tc>
          <w:tcPr>
            <w:tcW w:w="0" w:type="dxa"/>
            <w:vAlign w:val="bottom"/>
          </w:tcPr>
          <w:p>
            <w:pPr>
              <w:spacing w:after="0"/>
              <w:rPr>
                <w:sz w:val="1"/>
                <w:szCs w:val="1"/>
                <w:color w:val="auto"/>
              </w:rPr>
            </w:pPr>
          </w:p>
        </w:tc>
      </w:tr>
      <w:tr>
        <w:trPr>
          <w:trHeight w:val="175"/>
        </w:trPr>
        <w:tc>
          <w:tcPr>
            <w:tcW w:w="3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6"/>
              </w:rPr>
              <w:t>3.000% Guaranteed Notes due 2051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20 bps</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May 26, 2051</w:t>
            </w:r>
          </w:p>
        </w:tc>
        <w:tc>
          <w:tcPr>
            <w:tcW w:w="0" w:type="dxa"/>
            <w:vAlign w:val="bottom"/>
          </w:tcPr>
          <w:p>
            <w:pPr>
              <w:spacing w:after="0"/>
              <w:rPr>
                <w:sz w:val="1"/>
                <w:szCs w:val="1"/>
                <w:color w:val="auto"/>
              </w:rPr>
            </w:pPr>
          </w:p>
        </w:tc>
      </w:tr>
    </w:tbl>
    <w:p>
      <w:pPr>
        <w:spacing w:after="0" w:line="151" w:lineRule="exact"/>
        <w:rPr>
          <w:sz w:val="20"/>
          <w:szCs w:val="20"/>
          <w:color w:val="auto"/>
        </w:rPr>
      </w:pPr>
    </w:p>
    <w:tbl>
      <w:tblPr>
        <w:tblLayout w:type="fixed"/>
        <w:tblInd w:w="1480" w:type="dxa"/>
        <w:tblCellMar>
          <w:top w:w="0" w:type="dxa"/>
          <w:left w:w="0" w:type="dxa"/>
          <w:bottom w:w="0" w:type="dxa"/>
          <w:right w:w="0" w:type="dxa"/>
        </w:tblCellMar>
      </w:tblPr>
      <w:tr>
        <w:trPr>
          <w:trHeight w:val="163"/>
        </w:trPr>
        <w:tc>
          <w:tcPr>
            <w:tcW w:w="2000" w:type="dxa"/>
            <w:vAlign w:val="bottom"/>
          </w:tcPr>
          <w:p>
            <w:pPr>
              <w:spacing w:after="0"/>
              <w:rPr>
                <w:sz w:val="14"/>
                <w:szCs w:val="14"/>
                <w:color w:val="auto"/>
              </w:rPr>
            </w:pP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On or after the applicable Par Call Date, Shell Finance US will have the right to redeem each</w:t>
            </w:r>
          </w:p>
        </w:tc>
      </w:tr>
      <w:tr>
        <w:trPr>
          <w:trHeight w:val="163"/>
        </w:trPr>
        <w:tc>
          <w:tcPr>
            <w:tcW w:w="2000" w:type="dxa"/>
            <w:vAlign w:val="bottom"/>
          </w:tcPr>
          <w:p>
            <w:pPr>
              <w:spacing w:after="0"/>
              <w:rPr>
                <w:sz w:val="14"/>
                <w:szCs w:val="14"/>
                <w:color w:val="auto"/>
              </w:rPr>
            </w:pP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series of the Exchange Notes listed in the table immediately above, in whole or in part, at any</w:t>
            </w:r>
          </w:p>
        </w:tc>
      </w:tr>
      <w:tr>
        <w:trPr>
          <w:trHeight w:val="163"/>
        </w:trPr>
        <w:tc>
          <w:tcPr>
            <w:tcW w:w="2000" w:type="dxa"/>
            <w:vAlign w:val="bottom"/>
          </w:tcPr>
          <w:p>
            <w:pPr>
              <w:spacing w:after="0"/>
              <w:rPr>
                <w:sz w:val="14"/>
                <w:szCs w:val="14"/>
                <w:color w:val="auto"/>
              </w:rPr>
            </w:pP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time and from time to time at a redemption price equal to 100% of the principal amount of the</w:t>
            </w:r>
          </w:p>
        </w:tc>
      </w:tr>
      <w:tr>
        <w:trPr>
          <w:trHeight w:val="163"/>
        </w:trPr>
        <w:tc>
          <w:tcPr>
            <w:tcW w:w="2000" w:type="dxa"/>
            <w:vAlign w:val="bottom"/>
          </w:tcPr>
          <w:p>
            <w:pPr>
              <w:spacing w:after="0"/>
              <w:rPr>
                <w:sz w:val="14"/>
                <w:szCs w:val="14"/>
                <w:color w:val="auto"/>
              </w:rPr>
            </w:pP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applicable series of the Exchange Notes to be redeemed, plus accrued and unpaid interest, if</w:t>
            </w:r>
          </w:p>
        </w:tc>
      </w:tr>
      <w:tr>
        <w:trPr>
          <w:trHeight w:val="175"/>
        </w:trPr>
        <w:tc>
          <w:tcPr>
            <w:tcW w:w="2000" w:type="dxa"/>
            <w:vAlign w:val="bottom"/>
          </w:tcPr>
          <w:p>
            <w:pPr>
              <w:spacing w:after="0"/>
              <w:rPr>
                <w:sz w:val="15"/>
                <w:szCs w:val="15"/>
                <w:color w:val="auto"/>
              </w:rPr>
            </w:pP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any, thereon to, but excluding, the applicable date of redemption.</w:t>
            </w:r>
          </w:p>
        </w:tc>
      </w:tr>
      <w:tr>
        <w:trPr>
          <w:trHeight w:val="335"/>
        </w:trPr>
        <w:tc>
          <w:tcPr>
            <w:tcW w:w="2000" w:type="dxa"/>
            <w:vAlign w:val="bottom"/>
          </w:tcPr>
          <w:p>
            <w:pPr>
              <w:spacing w:after="0"/>
              <w:rPr>
                <w:sz w:val="24"/>
                <w:szCs w:val="24"/>
                <w:color w:val="auto"/>
              </w:rPr>
            </w:pP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In no event shall the Trustee or Paying Agent be responsible for determining the redemption</w:t>
            </w:r>
          </w:p>
        </w:tc>
      </w:tr>
      <w:tr>
        <w:trPr>
          <w:trHeight w:val="175"/>
        </w:trPr>
        <w:tc>
          <w:tcPr>
            <w:tcW w:w="2000" w:type="dxa"/>
            <w:vAlign w:val="bottom"/>
          </w:tcPr>
          <w:p>
            <w:pPr>
              <w:spacing w:after="0"/>
              <w:rPr>
                <w:sz w:val="15"/>
                <w:szCs w:val="15"/>
                <w:color w:val="auto"/>
              </w:rPr>
            </w:pP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price.</w:t>
            </w:r>
          </w:p>
        </w:tc>
      </w:tr>
      <w:tr>
        <w:trPr>
          <w:trHeight w:val="335"/>
        </w:trPr>
        <w:tc>
          <w:tcPr>
            <w:tcW w:w="2000" w:type="dxa"/>
            <w:vAlign w:val="bottom"/>
          </w:tcPr>
          <w:p>
            <w:pPr>
              <w:spacing w:after="0"/>
              <w:rPr>
                <w:sz w:val="24"/>
                <w:szCs w:val="24"/>
                <w:color w:val="auto"/>
              </w:rPr>
            </w:pP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See “Description of the Exchange Notes and Guarantees—Redemption—Optional</w:t>
            </w:r>
          </w:p>
        </w:tc>
      </w:tr>
      <w:tr>
        <w:trPr>
          <w:trHeight w:val="175"/>
        </w:trPr>
        <w:tc>
          <w:tcPr>
            <w:tcW w:w="2000" w:type="dxa"/>
            <w:vAlign w:val="bottom"/>
          </w:tcPr>
          <w:p>
            <w:pPr>
              <w:spacing w:after="0"/>
              <w:rPr>
                <w:sz w:val="15"/>
                <w:szCs w:val="15"/>
                <w:color w:val="auto"/>
              </w:rPr>
            </w:pP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Redemption” for further detail.</w:t>
            </w:r>
          </w:p>
        </w:tc>
      </w:tr>
      <w:tr>
        <w:trPr>
          <w:trHeight w:val="321"/>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Guarantee</w:t>
            </w: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The Exchange Notes will be fully and unconditionally guaranteed (the “</w:t>
            </w:r>
            <w:r>
              <w:rPr>
                <w:rFonts w:ascii="Times New Roman" w:cs="Times New Roman" w:eastAsia="Times New Roman" w:hAnsi="Times New Roman"/>
                <w:sz w:val="14"/>
                <w:szCs w:val="14"/>
                <w:b w:val="1"/>
                <w:bCs w:val="1"/>
                <w:color w:val="auto"/>
              </w:rPr>
              <w:t>Guarantees</w:t>
            </w:r>
            <w:r>
              <w:rPr>
                <w:rFonts w:ascii="Times New Roman" w:cs="Times New Roman" w:eastAsia="Times New Roman" w:hAnsi="Times New Roman"/>
                <w:sz w:val="14"/>
                <w:szCs w:val="14"/>
                <w:color w:val="auto"/>
              </w:rPr>
              <w:t>”) by Shell</w:t>
            </w:r>
          </w:p>
        </w:tc>
      </w:tr>
      <w:tr>
        <w:trPr>
          <w:trHeight w:val="167"/>
        </w:trPr>
        <w:tc>
          <w:tcPr>
            <w:tcW w:w="2000" w:type="dxa"/>
            <w:vAlign w:val="bottom"/>
          </w:tcPr>
          <w:p>
            <w:pPr>
              <w:spacing w:after="0"/>
              <w:rPr>
                <w:sz w:val="14"/>
                <w:szCs w:val="14"/>
                <w:color w:val="auto"/>
              </w:rPr>
            </w:pP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color w:val="auto"/>
              </w:rPr>
              <w:t>Guarantor</w:t>
            </w:r>
            <w:r>
              <w:rPr>
                <w:rFonts w:ascii="Times New Roman" w:cs="Times New Roman" w:eastAsia="Times New Roman" w:hAnsi="Times New Roman"/>
                <w:sz w:val="14"/>
                <w:szCs w:val="14"/>
                <w:color w:val="auto"/>
              </w:rPr>
              <w:t>”) as to the payment of principal, premium (if any) and interest, including any</w:t>
            </w:r>
          </w:p>
        </w:tc>
      </w:tr>
      <w:tr>
        <w:trPr>
          <w:trHeight w:val="175"/>
        </w:trPr>
        <w:tc>
          <w:tcPr>
            <w:tcW w:w="2000" w:type="dxa"/>
            <w:vAlign w:val="bottom"/>
          </w:tcPr>
          <w:p>
            <w:pPr>
              <w:spacing w:after="0"/>
              <w:rPr>
                <w:sz w:val="15"/>
                <w:szCs w:val="15"/>
                <w:color w:val="auto"/>
              </w:rPr>
            </w:pP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additional amounts that may be payable.</w:t>
            </w:r>
          </w:p>
        </w:tc>
      </w:tr>
      <w:tr>
        <w:trPr>
          <w:trHeight w:val="315"/>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 Redemption</w:t>
            </w: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In the event of tax law changes that require us to pay additional amounts as described under</w:t>
            </w:r>
          </w:p>
        </w:tc>
      </w:tr>
      <w:tr>
        <w:trPr>
          <w:trHeight w:val="163"/>
        </w:trPr>
        <w:tc>
          <w:tcPr>
            <w:tcW w:w="2000" w:type="dxa"/>
            <w:vAlign w:val="bottom"/>
          </w:tcPr>
          <w:p>
            <w:pPr>
              <w:spacing w:after="0"/>
              <w:rPr>
                <w:sz w:val="14"/>
                <w:szCs w:val="14"/>
                <w:color w:val="auto"/>
              </w:rPr>
            </w:pP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“Description of the Exchange Notes and Guarantees—Redemption—Optional Tax</w:t>
            </w:r>
          </w:p>
        </w:tc>
      </w:tr>
      <w:tr>
        <w:trPr>
          <w:trHeight w:val="163"/>
        </w:trPr>
        <w:tc>
          <w:tcPr>
            <w:tcW w:w="2000" w:type="dxa"/>
            <w:vAlign w:val="bottom"/>
          </w:tcPr>
          <w:p>
            <w:pPr>
              <w:spacing w:after="0"/>
              <w:rPr>
                <w:sz w:val="14"/>
                <w:szCs w:val="14"/>
                <w:color w:val="auto"/>
              </w:rPr>
            </w:pP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Redemption,” we may call the Exchange Notes for redemption, in whole but not in part, prior</w:t>
            </w:r>
          </w:p>
        </w:tc>
      </w:tr>
      <w:tr>
        <w:trPr>
          <w:trHeight w:val="175"/>
        </w:trPr>
        <w:tc>
          <w:tcPr>
            <w:tcW w:w="2000" w:type="dxa"/>
            <w:vAlign w:val="bottom"/>
          </w:tcPr>
          <w:p>
            <w:pPr>
              <w:spacing w:after="0"/>
              <w:rPr>
                <w:sz w:val="15"/>
                <w:szCs w:val="15"/>
                <w:color w:val="auto"/>
              </w:rPr>
            </w:pP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to maturity.</w:t>
            </w:r>
          </w:p>
        </w:tc>
      </w:tr>
      <w:tr>
        <w:trPr>
          <w:trHeight w:val="315"/>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Substitution</w:t>
            </w: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We may cause Shell or any subsidiary of Shell to assume the obligations of Shell Finance US</w:t>
            </w:r>
          </w:p>
        </w:tc>
      </w:tr>
      <w:tr>
        <w:trPr>
          <w:trHeight w:val="163"/>
        </w:trPr>
        <w:tc>
          <w:tcPr>
            <w:tcW w:w="2000" w:type="dxa"/>
            <w:vAlign w:val="bottom"/>
          </w:tcPr>
          <w:p>
            <w:pPr>
              <w:spacing w:after="0"/>
              <w:rPr>
                <w:sz w:val="14"/>
                <w:szCs w:val="14"/>
                <w:color w:val="auto"/>
              </w:rPr>
            </w:pP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under the Exchange Notes. Additionally, should any entity become the 100% owner of Shell,</w:t>
            </w:r>
          </w:p>
        </w:tc>
      </w:tr>
      <w:tr>
        <w:trPr>
          <w:trHeight w:val="163"/>
        </w:trPr>
        <w:tc>
          <w:tcPr>
            <w:tcW w:w="2000" w:type="dxa"/>
            <w:vAlign w:val="bottom"/>
          </w:tcPr>
          <w:p>
            <w:pPr>
              <w:spacing w:after="0"/>
              <w:rPr>
                <w:sz w:val="14"/>
                <w:szCs w:val="14"/>
                <w:color w:val="auto"/>
              </w:rPr>
            </w:pP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such entity may assume the obligations of Shell. U.S. tax implications of these provisions to</w:t>
            </w:r>
          </w:p>
        </w:tc>
      </w:tr>
      <w:tr>
        <w:trPr>
          <w:trHeight w:val="163"/>
        </w:trPr>
        <w:tc>
          <w:tcPr>
            <w:tcW w:w="2000" w:type="dxa"/>
            <w:vAlign w:val="bottom"/>
          </w:tcPr>
          <w:p>
            <w:pPr>
              <w:spacing w:after="0"/>
              <w:rPr>
                <w:sz w:val="14"/>
                <w:szCs w:val="14"/>
                <w:color w:val="auto"/>
              </w:rPr>
            </w:pP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holders are described under “Risk Factors—Risks Relating to the Exchange Notes—The</w:t>
            </w:r>
          </w:p>
        </w:tc>
      </w:tr>
      <w:tr>
        <w:trPr>
          <w:trHeight w:val="163"/>
        </w:trPr>
        <w:tc>
          <w:tcPr>
            <w:tcW w:w="2000" w:type="dxa"/>
            <w:vAlign w:val="bottom"/>
          </w:tcPr>
          <w:p>
            <w:pPr>
              <w:spacing w:after="0"/>
              <w:rPr>
                <w:sz w:val="14"/>
                <w:szCs w:val="14"/>
                <w:color w:val="auto"/>
              </w:rPr>
            </w:pP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substitution of the obligor on a particular series of Exchange Notes generally would cause you</w:t>
            </w:r>
          </w:p>
        </w:tc>
      </w:tr>
      <w:tr>
        <w:trPr>
          <w:trHeight w:val="163"/>
        </w:trPr>
        <w:tc>
          <w:tcPr>
            <w:tcW w:w="2000" w:type="dxa"/>
            <w:vAlign w:val="bottom"/>
          </w:tcPr>
          <w:p>
            <w:pPr>
              <w:spacing w:after="0"/>
              <w:rPr>
                <w:sz w:val="14"/>
                <w:szCs w:val="14"/>
                <w:color w:val="auto"/>
              </w:rPr>
            </w:pP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to realize taxable gain or loss for U.S. tax purposes, if any, on any such Exchange Notes that</w:t>
            </w:r>
          </w:p>
        </w:tc>
      </w:tr>
      <w:tr>
        <w:trPr>
          <w:trHeight w:val="175"/>
        </w:trPr>
        <w:tc>
          <w:tcPr>
            <w:tcW w:w="2000" w:type="dxa"/>
            <w:vAlign w:val="bottom"/>
          </w:tcPr>
          <w:p>
            <w:pPr>
              <w:spacing w:after="0"/>
              <w:rPr>
                <w:sz w:val="15"/>
                <w:szCs w:val="15"/>
                <w:color w:val="auto"/>
              </w:rPr>
            </w:pP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you hold.”</w:t>
            </w:r>
          </w:p>
        </w:tc>
      </w:tr>
      <w:tr>
        <w:trPr>
          <w:trHeight w:val="315"/>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Denominations</w:t>
            </w: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We will issue the Exchange Notes in minimum denominations of $1,000 and integral multiples</w:t>
            </w:r>
          </w:p>
        </w:tc>
      </w:tr>
      <w:tr>
        <w:trPr>
          <w:trHeight w:val="175"/>
        </w:trPr>
        <w:tc>
          <w:tcPr>
            <w:tcW w:w="2000" w:type="dxa"/>
            <w:vAlign w:val="bottom"/>
          </w:tcPr>
          <w:p>
            <w:pPr>
              <w:spacing w:after="0"/>
              <w:rPr>
                <w:sz w:val="15"/>
                <w:szCs w:val="15"/>
                <w:color w:val="auto"/>
              </w:rPr>
            </w:pPr>
          </w:p>
        </w:tc>
        <w:tc>
          <w:tcPr>
            <w:tcW w:w="6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of $1,000 in excess thereof.</w:t>
            </w:r>
          </w:p>
        </w:tc>
      </w:tr>
      <w:tr>
        <w:trPr>
          <w:trHeight w:val="129"/>
        </w:trPr>
        <w:tc>
          <w:tcPr>
            <w:tcW w:w="2000" w:type="dxa"/>
            <w:vAlign w:val="bottom"/>
            <w:tcBorders>
              <w:bottom w:val="single" w:sz="8" w:color="auto"/>
            </w:tcBorders>
          </w:tcPr>
          <w:p>
            <w:pPr>
              <w:spacing w:after="0"/>
              <w:rPr>
                <w:sz w:val="11"/>
                <w:szCs w:val="11"/>
                <w:color w:val="auto"/>
              </w:rPr>
            </w:pPr>
          </w:p>
        </w:tc>
        <w:tc>
          <w:tcPr>
            <w:tcW w:w="6340" w:type="dxa"/>
            <w:vAlign w:val="bottom"/>
            <w:tcBorders>
              <w:bottom w:val="single" w:sz="8" w:color="auto"/>
            </w:tcBorders>
          </w:tcPr>
          <w:p>
            <w:pPr>
              <w:spacing w:after="0"/>
              <w:rPr>
                <w:sz w:val="11"/>
                <w:szCs w:val="11"/>
                <w:color w:val="auto"/>
              </w:rPr>
            </w:pPr>
          </w:p>
        </w:tc>
      </w:tr>
      <w:tr>
        <w:trPr>
          <w:trHeight w:val="270"/>
        </w:trPr>
        <w:tc>
          <w:tcPr>
            <w:tcW w:w="2000" w:type="dxa"/>
            <w:vAlign w:val="bottom"/>
          </w:tcPr>
          <w:p>
            <w:pPr>
              <w:spacing w:after="0"/>
              <w:rPr>
                <w:sz w:val="23"/>
                <w:szCs w:val="23"/>
                <w:color w:val="auto"/>
              </w:rPr>
            </w:pPr>
          </w:p>
        </w:tc>
        <w:tc>
          <w:tcPr>
            <w:tcW w:w="634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8</w:t>
            </w:r>
          </w:p>
        </w:tc>
      </w:tr>
    </w:tbl>
    <w:p>
      <w:pPr>
        <w:sectPr>
          <w:pgSz w:w="11900" w:h="16838" w:orient="portrait"/>
          <w:cols w:equalWidth="0" w:num="1">
            <w:col w:w="10159"/>
          </w:cols>
          <w:pgMar w:left="300" w:top="378"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29" w:lineRule="exact"/>
        <w:rPr>
          <w:sz w:val="20"/>
          <w:szCs w:val="20"/>
          <w:color w:val="auto"/>
        </w:rPr>
      </w:pPr>
    </w:p>
    <w:tbl>
      <w:tblPr>
        <w:tblLayout w:type="fixed"/>
        <w:tblInd w:w="1490" w:type="dxa"/>
        <w:tblCellMar>
          <w:top w:w="0" w:type="dxa"/>
          <w:left w:w="0" w:type="dxa"/>
          <w:bottom w:w="0" w:type="dxa"/>
          <w:right w:w="0" w:type="dxa"/>
        </w:tblCellMar>
      </w:tblPr>
      <w:tr>
        <w:trPr>
          <w:trHeight w:val="288"/>
        </w:trPr>
        <w:tc>
          <w:tcPr>
            <w:tcW w:w="238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Listing</w:t>
            </w:r>
          </w:p>
        </w:tc>
        <w:tc>
          <w:tcPr>
            <w:tcW w:w="596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w w:val="99"/>
              </w:rPr>
              <w:t>We intend to apply to list the Exchange Notes on the NYSE. There can be no assurance that any</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series of Exchange Notes will be listed on the NYSE or as to the development or liquidity of</w:t>
            </w:r>
          </w:p>
        </w:tc>
      </w:tr>
      <w:tr>
        <w:trPr>
          <w:trHeight w:val="175"/>
        </w:trPr>
        <w:tc>
          <w:tcPr>
            <w:tcW w:w="2380" w:type="dxa"/>
            <w:vAlign w:val="bottom"/>
            <w:tcBorders>
              <w:left w:val="single" w:sz="8" w:color="auto"/>
            </w:tcBorders>
          </w:tcPr>
          <w:p>
            <w:pPr>
              <w:spacing w:after="0"/>
              <w:rPr>
                <w:sz w:val="15"/>
                <w:szCs w:val="15"/>
                <w:color w:val="auto"/>
              </w:rPr>
            </w:pP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any market for the Exchange Notes.</w:t>
            </w:r>
          </w:p>
        </w:tc>
      </w:tr>
      <w:tr>
        <w:trPr>
          <w:trHeight w:val="315"/>
        </w:trPr>
        <w:tc>
          <w:tcPr>
            <w:tcW w:w="23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Form and Settlement</w:t>
            </w: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The Exchange Notes will be issued only in registered, book-entry form. There will be global</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notes deposited with a common depositary for DTC representing the Exchange Notes.</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Beneficial interests in Exchange Notes held in book-entry form will not be entitled to receive</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w w:val="99"/>
              </w:rPr>
              <w:t>physical delivery of certificated notes except in certain limited circumstances. See “Description</w:t>
            </w:r>
          </w:p>
        </w:tc>
      </w:tr>
      <w:tr>
        <w:trPr>
          <w:trHeight w:val="175"/>
        </w:trPr>
        <w:tc>
          <w:tcPr>
            <w:tcW w:w="2380" w:type="dxa"/>
            <w:vAlign w:val="bottom"/>
            <w:tcBorders>
              <w:left w:val="single" w:sz="8" w:color="auto"/>
            </w:tcBorders>
          </w:tcPr>
          <w:p>
            <w:pPr>
              <w:spacing w:after="0"/>
              <w:rPr>
                <w:sz w:val="15"/>
                <w:szCs w:val="15"/>
                <w:color w:val="auto"/>
              </w:rPr>
            </w:pP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of the Exchange Notes and Guarantees—Book-Entry Form.”</w:t>
            </w:r>
          </w:p>
        </w:tc>
      </w:tr>
      <w:tr>
        <w:trPr>
          <w:trHeight w:val="315"/>
        </w:trPr>
        <w:tc>
          <w:tcPr>
            <w:tcW w:w="23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Separate Series; Further Issues</w:t>
            </w: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Each series of Exchange Notes will constitute a separate series of debt securities under the</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w w:val="99"/>
              </w:rPr>
              <w:t>Shell Finance US Indenture. Each such series of Exchange Notes will be part of the same series</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of the applicable series of Restricted Notes under the Shell Finance US Indenture. The Shell</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Finance US Indenture does not limit the aggregate principal amount of debt securities that may</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be issued thereunder and we may, without the consent of the holders of the Exchange Notes,</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issue additional debt securities, including additional Exchange Notes, having the same ranking</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and same interest rate, maturity date, redemption terms and other terms as the Exchange Notes</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described in this prospectus (except for the price to public, issue date, and in some cases, the</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first interest payment date). If we reopen any series of Exchange Notes and issue additional</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w w:val="99"/>
              </w:rPr>
              <w:t>notes, such additional notes will constitute part of a single series of debt securities consisting of</w:t>
            </w:r>
          </w:p>
        </w:tc>
      </w:tr>
      <w:tr>
        <w:trPr>
          <w:trHeight w:val="175"/>
        </w:trPr>
        <w:tc>
          <w:tcPr>
            <w:tcW w:w="2380" w:type="dxa"/>
            <w:vAlign w:val="bottom"/>
            <w:tcBorders>
              <w:left w:val="single" w:sz="8" w:color="auto"/>
            </w:tcBorders>
          </w:tcPr>
          <w:p>
            <w:pPr>
              <w:spacing w:after="0"/>
              <w:rPr>
                <w:sz w:val="15"/>
                <w:szCs w:val="15"/>
                <w:color w:val="auto"/>
              </w:rPr>
            </w:pP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such additional notes along with the related series of Exchange Notes offered hereby.</w:t>
            </w:r>
          </w:p>
        </w:tc>
      </w:tr>
      <w:tr>
        <w:trPr>
          <w:trHeight w:val="315"/>
        </w:trPr>
        <w:tc>
          <w:tcPr>
            <w:tcW w:w="23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Governing Law</w:t>
            </w: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The Shell Finance US Indenture is, and the Exchange Notes and the Guarantees will be,</w:t>
            </w:r>
          </w:p>
        </w:tc>
      </w:tr>
      <w:tr>
        <w:trPr>
          <w:trHeight w:val="175"/>
        </w:trPr>
        <w:tc>
          <w:tcPr>
            <w:tcW w:w="2380" w:type="dxa"/>
            <w:vAlign w:val="bottom"/>
            <w:tcBorders>
              <w:left w:val="single" w:sz="8" w:color="auto"/>
            </w:tcBorders>
          </w:tcPr>
          <w:p>
            <w:pPr>
              <w:spacing w:after="0"/>
              <w:rPr>
                <w:sz w:val="15"/>
                <w:szCs w:val="15"/>
                <w:color w:val="auto"/>
              </w:rPr>
            </w:pP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governed by and construed in accordance with the laws of the State of New York.</w:t>
            </w:r>
          </w:p>
        </w:tc>
      </w:tr>
      <w:tr>
        <w:trPr>
          <w:trHeight w:val="311"/>
        </w:trPr>
        <w:tc>
          <w:tcPr>
            <w:tcW w:w="23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Trustee and Paying Agent</w:t>
            </w: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The trustee for the Exchange Notes will be Deutsche Bank Trust Company Americas</w:t>
            </w:r>
          </w:p>
        </w:tc>
      </w:tr>
      <w:tr>
        <w:trPr>
          <w:trHeight w:val="179"/>
        </w:trPr>
        <w:tc>
          <w:tcPr>
            <w:tcW w:w="2380" w:type="dxa"/>
            <w:vAlign w:val="bottom"/>
            <w:tcBorders>
              <w:left w:val="single" w:sz="8" w:color="auto"/>
            </w:tcBorders>
          </w:tcPr>
          <w:p>
            <w:pPr>
              <w:spacing w:after="0"/>
              <w:rPr>
                <w:sz w:val="15"/>
                <w:szCs w:val="15"/>
                <w:color w:val="auto"/>
              </w:rPr>
            </w:pP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w:t>
            </w:r>
          </w:p>
        </w:tc>
      </w:tr>
      <w:tr>
        <w:trPr>
          <w:trHeight w:val="315"/>
        </w:trPr>
        <w:tc>
          <w:tcPr>
            <w:tcW w:w="23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Risk Factors</w:t>
            </w: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w w:val="99"/>
              </w:rPr>
              <w:t>For certain risks related to the Exchange Notes and the Exchange Offers, please read the section</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entitled “Risk Factors” beginning on page 10 of this prospectus and in the documents</w:t>
            </w:r>
          </w:p>
        </w:tc>
      </w:tr>
      <w:tr>
        <w:trPr>
          <w:trHeight w:val="163"/>
        </w:trPr>
        <w:tc>
          <w:tcPr>
            <w:tcW w:w="2380" w:type="dxa"/>
            <w:vAlign w:val="bottom"/>
            <w:tcBorders>
              <w:left w:val="single" w:sz="8" w:color="auto"/>
            </w:tcBorders>
          </w:tcPr>
          <w:p>
            <w:pPr>
              <w:spacing w:after="0"/>
              <w:rPr>
                <w:sz w:val="14"/>
                <w:szCs w:val="14"/>
                <w:color w:val="auto"/>
              </w:rPr>
            </w:pP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incorporated by reference herein for a discussion of factors you should carefully consider</w:t>
            </w:r>
          </w:p>
        </w:tc>
      </w:tr>
      <w:tr>
        <w:trPr>
          <w:trHeight w:val="175"/>
        </w:trPr>
        <w:tc>
          <w:tcPr>
            <w:tcW w:w="2380" w:type="dxa"/>
            <w:vAlign w:val="bottom"/>
            <w:tcBorders>
              <w:left w:val="single" w:sz="8" w:color="auto"/>
            </w:tcBorders>
          </w:tcPr>
          <w:p>
            <w:pPr>
              <w:spacing w:after="0"/>
              <w:rPr>
                <w:sz w:val="15"/>
                <w:szCs w:val="15"/>
                <w:color w:val="auto"/>
              </w:rPr>
            </w:pPr>
          </w:p>
        </w:tc>
        <w:tc>
          <w:tcPr>
            <w:tcW w:w="59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before exchanging any series of Restricted Notes in the Exchange Offers.</w:t>
            </w:r>
          </w:p>
        </w:tc>
      </w:tr>
      <w:tr>
        <w:trPr>
          <w:trHeight w:val="129"/>
        </w:trPr>
        <w:tc>
          <w:tcPr>
            <w:tcW w:w="2380" w:type="dxa"/>
            <w:vAlign w:val="bottom"/>
            <w:tcBorders>
              <w:left w:val="single" w:sz="8" w:color="auto"/>
              <w:bottom w:val="single" w:sz="8" w:color="auto"/>
            </w:tcBorders>
          </w:tcPr>
          <w:p>
            <w:pPr>
              <w:spacing w:after="0"/>
              <w:rPr>
                <w:sz w:val="11"/>
                <w:szCs w:val="11"/>
                <w:color w:val="auto"/>
              </w:rPr>
            </w:pPr>
          </w:p>
        </w:tc>
        <w:tc>
          <w:tcPr>
            <w:tcW w:w="5960" w:type="dxa"/>
            <w:vAlign w:val="bottom"/>
            <w:tcBorders>
              <w:bottom w:val="single" w:sz="8" w:color="auto"/>
              <w:right w:val="single" w:sz="8" w:color="auto"/>
            </w:tcBorders>
          </w:tcPr>
          <w:p>
            <w:pPr>
              <w:spacing w:after="0"/>
              <w:rPr>
                <w:sz w:val="11"/>
                <w:szCs w:val="11"/>
                <w:color w:val="auto"/>
              </w:rPr>
            </w:pPr>
          </w:p>
        </w:tc>
      </w:tr>
      <w:tr>
        <w:trPr>
          <w:trHeight w:val="270"/>
        </w:trPr>
        <w:tc>
          <w:tcPr>
            <w:tcW w:w="2380" w:type="dxa"/>
            <w:vAlign w:val="bottom"/>
          </w:tcPr>
          <w:p>
            <w:pPr>
              <w:spacing w:after="0"/>
              <w:rPr>
                <w:sz w:val="23"/>
                <w:szCs w:val="23"/>
                <w:color w:val="auto"/>
              </w:rPr>
            </w:pPr>
          </w:p>
        </w:tc>
        <w:tc>
          <w:tcPr>
            <w:tcW w:w="596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9</w:t>
            </w:r>
          </w:p>
        </w:tc>
      </w:tr>
    </w:tbl>
    <w:p>
      <w:pPr>
        <w:sectPr>
          <w:pgSz w:w="11900" w:h="16838" w:orient="portrait"/>
          <w:cols w:equalWidth="0" w:num="1">
            <w:col w:w="10159"/>
          </w:cols>
          <w:pgMar w:left="300" w:top="378"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68" w:lineRule="exact"/>
        <w:rPr>
          <w:sz w:val="20"/>
          <w:szCs w:val="20"/>
          <w:color w:val="auto"/>
        </w:rPr>
      </w:pPr>
    </w:p>
    <w:p>
      <w:pPr>
        <w:ind w:left="1480" w:right="399"/>
        <w:spacing w:after="0" w:line="295" w:lineRule="auto"/>
        <w:rPr>
          <w:sz w:val="20"/>
          <w:szCs w:val="20"/>
          <w:color w:val="auto"/>
        </w:rPr>
      </w:pPr>
      <w:r>
        <w:rPr>
          <w:rFonts w:ascii="Times New Roman" w:cs="Times New Roman" w:eastAsia="Times New Roman" w:hAnsi="Times New Roman"/>
          <w:sz w:val="12"/>
          <w:szCs w:val="12"/>
          <w:i w:val="1"/>
          <w:iCs w:val="1"/>
          <w:color w:val="auto"/>
        </w:rPr>
        <w:t>Participation in the Exchange Offers involves a high degree of risk, including, but not limited to, the risks described below. In addition, you should carefully consider, among other things, the risks described in the documents incorporated by reference into this prospectus. The risks and uncertainties described below and in the foregoing documents are not the only risks and uncertainties we face. Additional risks and uncertainties not presently known to us or that we currently deem immaterial may also impair our business operations. If any of the following risks actually occur, our business, financial condition and results of operations could suffer. As a result, the trading price of the Exchange Notes could decline, perhaps significantly, and you could lose all or part of your investment. The risks discussed below also include forward-looking statements and our actual results may differ substantially from those discussed in these forward-looking statements. See “Cautionary Statement Regarding Forward-Looking Statements.”</w:t>
      </w:r>
    </w:p>
    <w:p>
      <w:pPr>
        <w:spacing w:after="0" w:line="1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Risks relating to the Shell Group’s business</w:t>
      </w:r>
    </w:p>
    <w:p>
      <w:pPr>
        <w:spacing w:after="0" w:line="170" w:lineRule="exact"/>
        <w:rPr>
          <w:sz w:val="20"/>
          <w:szCs w:val="20"/>
          <w:color w:val="auto"/>
        </w:rPr>
      </w:pPr>
    </w:p>
    <w:p>
      <w:pPr>
        <w:ind w:left="1480" w:right="859"/>
        <w:spacing w:after="0" w:line="264" w:lineRule="auto"/>
        <w:rPr>
          <w:sz w:val="20"/>
          <w:szCs w:val="20"/>
          <w:color w:val="auto"/>
        </w:rPr>
      </w:pPr>
      <w:r>
        <w:rPr>
          <w:rFonts w:ascii="Times New Roman" w:cs="Times New Roman" w:eastAsia="Times New Roman" w:hAnsi="Times New Roman"/>
          <w:sz w:val="14"/>
          <w:szCs w:val="14"/>
          <w:color w:val="auto"/>
        </w:rPr>
        <w:t>You should read “Risk Factors” in the 2025 20-F, which is incorporated by reference in this prospectus, or similar sections in subsequent filings incorporated by reference in this prospectus, for information on risks relating to our business.</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Risks Relating to the Exchange Notes</w:t>
      </w:r>
    </w:p>
    <w:p>
      <w:pPr>
        <w:spacing w:after="0" w:line="166" w:lineRule="exact"/>
        <w:rPr>
          <w:sz w:val="20"/>
          <w:szCs w:val="20"/>
          <w:color w:val="auto"/>
        </w:rPr>
      </w:pPr>
    </w:p>
    <w:p>
      <w:pPr>
        <w:ind w:left="1480" w:right="5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Because Shell is a holding company and conducts its operations through subsidiaries, your right to receive payments on the Guarantees issued by Shell will be structurally subordinated to the liabilities of its subsidiaries.</w:t>
      </w:r>
    </w:p>
    <w:p>
      <w:pPr>
        <w:spacing w:after="0" w:line="132" w:lineRule="exact"/>
        <w:rPr>
          <w:sz w:val="20"/>
          <w:szCs w:val="20"/>
          <w:color w:val="auto"/>
        </w:rPr>
      </w:pPr>
    </w:p>
    <w:p>
      <w:pPr>
        <w:ind w:left="1480" w:right="419"/>
        <w:spacing w:after="0" w:line="294" w:lineRule="auto"/>
        <w:rPr>
          <w:sz w:val="20"/>
          <w:szCs w:val="20"/>
          <w:color w:val="auto"/>
        </w:rPr>
      </w:pPr>
      <w:r>
        <w:rPr>
          <w:rFonts w:ascii="Times New Roman" w:cs="Times New Roman" w:eastAsia="Times New Roman" w:hAnsi="Times New Roman"/>
          <w:sz w:val="12"/>
          <w:szCs w:val="12"/>
          <w:color w:val="auto"/>
        </w:rPr>
        <w:t>Shell is organized as a holding company, and substantially all of its operations are carried out through subsidiaries of Shell. Shell’s ability to meet its financial obligations is dependent upon the availability of cash flows from its domestic and foreign subsidiaries and affiliated companies through dividends, intercompany advances and other payments. Payments to Shell by its subsidiaries and affiliated companies will be contingent upon the earnings of those entities and the ability of those entities to pay dividends from profits available for distribution and make other payments to Shell is restricted by, among other things, applicable corporate and other laws and regulations as well as agreements to which those entities are currently or may in the future become a party. Shell’s subsidiaries will not be guarantors of the Exchange Notes. Claims of the creditors of Shell’s subsidiaries will have priority as to the assets of such subsidiaries over the claims of Shell. Consequently, in the event of insolvency of Shell, the claims of holders of the Exchange Notes under the Guarantees would be structurally subordinated to the prior claims of the creditors of subsidiaries of Shell.</w:t>
      </w:r>
    </w:p>
    <w:p>
      <w:pPr>
        <w:spacing w:after="0" w:line="28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Because the Exchange Notes will be unsecured, your right to receive payments may be adversely affected.</w:t>
      </w:r>
    </w:p>
    <w:p>
      <w:pPr>
        <w:spacing w:after="0" w:line="170" w:lineRule="exact"/>
        <w:rPr>
          <w:sz w:val="20"/>
          <w:szCs w:val="20"/>
          <w:color w:val="auto"/>
        </w:rPr>
      </w:pPr>
    </w:p>
    <w:p>
      <w:pPr>
        <w:ind w:left="1480" w:right="419"/>
        <w:spacing w:after="0" w:line="246" w:lineRule="auto"/>
        <w:rPr>
          <w:sz w:val="20"/>
          <w:szCs w:val="20"/>
          <w:color w:val="auto"/>
        </w:rPr>
      </w:pPr>
      <w:r>
        <w:rPr>
          <w:rFonts w:ascii="Times New Roman" w:cs="Times New Roman" w:eastAsia="Times New Roman" w:hAnsi="Times New Roman"/>
          <w:sz w:val="14"/>
          <w:szCs w:val="14"/>
          <w:color w:val="auto"/>
        </w:rPr>
        <w:t>The Exchange Notes will be unsecured. If Shell Finance US defaults on the Exchange Notes or Shell defaults on the Guarantees, or in the event of bankruptcy, liquidation or reorganization, then, to the extent that Shell Finance US or Shell have granted security interests over their assets to secure other debts, the proceeds from the sale of the assets that secure these debts will be used to satisfy the obligations under that secured debt before Shell Finance US or Shell could use such proceeds to make payment on the Exchange Notes or the Guarantees, respectively. If there is not enough collateral to satisfy the obligations of the secured debt, then the remaining amounts on the secured debt would rank equally in right of payment with all unsecured indebtedness that is not subordinated to such secured debt, including the Exchange Notes. In addition, Shell Finance US or Shell may have to satisfy obligations mandatorily preferred by law applying to companies generally before Shell Finance US or Shell could make payments on the Exchange Notes or the Guarantees, respectively.</w:t>
      </w:r>
    </w:p>
    <w:p>
      <w:pPr>
        <w:spacing w:after="0" w:line="1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The Exchange Notes lack a developed trading market, and such a market may never develop or be sustained.</w:t>
      </w:r>
    </w:p>
    <w:p>
      <w:pPr>
        <w:spacing w:after="0" w:line="170" w:lineRule="exact"/>
        <w:rPr>
          <w:sz w:val="20"/>
          <w:szCs w:val="20"/>
          <w:color w:val="auto"/>
        </w:rPr>
      </w:pPr>
    </w:p>
    <w:p>
      <w:pPr>
        <w:ind w:left="1480" w:right="399"/>
        <w:spacing w:after="0" w:line="264" w:lineRule="auto"/>
        <w:rPr>
          <w:sz w:val="20"/>
          <w:szCs w:val="20"/>
          <w:color w:val="auto"/>
        </w:rPr>
      </w:pPr>
      <w:r>
        <w:rPr>
          <w:rFonts w:ascii="Times New Roman" w:cs="Times New Roman" w:eastAsia="Times New Roman" w:hAnsi="Times New Roman"/>
          <w:sz w:val="14"/>
          <w:szCs w:val="14"/>
          <w:color w:val="auto"/>
        </w:rPr>
        <w:t>Although we intend to apply to list the Exchange Notes on the NYSE, there can be no assurance that any series of Exchange Notes will be listed or as to the development or liquidity of any market for the Exchange Notes.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78"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439"/>
        <w:spacing w:after="0" w:line="248" w:lineRule="auto"/>
        <w:rPr>
          <w:sz w:val="20"/>
          <w:szCs w:val="20"/>
          <w:color w:val="auto"/>
        </w:rPr>
      </w:pPr>
      <w:r>
        <w:rPr>
          <w:rFonts w:ascii="Times New Roman" w:cs="Times New Roman" w:eastAsia="Times New Roman" w:hAnsi="Times New Roman"/>
          <w:sz w:val="14"/>
          <w:szCs w:val="14"/>
          <w:color w:val="auto"/>
        </w:rPr>
        <w:t>There can also be no assurance regarding the ability of holders of Exchange Notes to sell their Exchange Notes or the price at which such holders may be able to sell their Exchange Notes. If a trading market were to develop, the Exchange Notes could trade at prices that may be higher or lower than the initial offering price and this may result in a return that is greater or less than the interest rate on the Exchange Notes, in each case depending on many factors, including, among other things, prevailing interest rates, Shell’s financial results, any change in Shell’s credit-worthiness and the market for similar securities.</w:t>
      </w:r>
    </w:p>
    <w:p>
      <w:pPr>
        <w:spacing w:after="0" w:line="144" w:lineRule="exact"/>
        <w:rPr>
          <w:sz w:val="20"/>
          <w:szCs w:val="20"/>
          <w:color w:val="auto"/>
        </w:rPr>
      </w:pPr>
    </w:p>
    <w:p>
      <w:pPr>
        <w:ind w:left="1480" w:right="7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substitution of the obligor on a particular series of Exchange Notes generally would cause you to realize taxable gain or loss for U.S. tax purposes, if any, on any such Exchange Notes that you hold.</w:t>
      </w:r>
    </w:p>
    <w:p>
      <w:pPr>
        <w:spacing w:after="0" w:line="132" w:lineRule="exact"/>
        <w:rPr>
          <w:sz w:val="20"/>
          <w:szCs w:val="20"/>
          <w:color w:val="auto"/>
        </w:rPr>
      </w:pPr>
    </w:p>
    <w:p>
      <w:pPr>
        <w:ind w:left="1480" w:right="419"/>
        <w:spacing w:after="0" w:line="246" w:lineRule="auto"/>
        <w:rPr>
          <w:sz w:val="20"/>
          <w:szCs w:val="20"/>
          <w:color w:val="auto"/>
        </w:rPr>
      </w:pPr>
      <w:r>
        <w:rPr>
          <w:rFonts w:ascii="Times New Roman" w:cs="Times New Roman" w:eastAsia="Times New Roman" w:hAnsi="Times New Roman"/>
          <w:sz w:val="14"/>
          <w:szCs w:val="14"/>
          <w:color w:val="auto"/>
        </w:rPr>
        <w:t>We will have the right to cause Shell or any of its subsidiaries to assume the obligations of Shell Finance US under any series of the Exchange Notes as described in “Description of the Exchange Notes and Guarantees—Substitution of Shell Finance US as Issuer” below. In addition, an entity that becomes the owner of 100% of the voting stock of Shell may assume the obligations of Shell with respect to one or more series of the Exchange Notes as described in “Description of the Exchange Notes and Guarantees—Consolidation, Merger and Sale of Assets” below. Under U.S. tax law, the change in the obligor on the Exchange Notes under these provisions could be treated as a disposition of any such Exchange Notes that you hold, resulting in your realization of gain or loss on the Exchange Notes even though you continue to hold the Exchange Notes and receive no distribution in connection with the deemed disposition.</w:t>
      </w:r>
    </w:p>
    <w:p>
      <w:pPr>
        <w:spacing w:after="0" w:line="14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The ability of Shell Finance US to satisfy its obligations in respect of the Exchange Notes is dependent on other members of the Shell Group.</w:t>
      </w:r>
    </w:p>
    <w:p>
      <w:pPr>
        <w:spacing w:after="0" w:line="170" w:lineRule="exact"/>
        <w:rPr>
          <w:sz w:val="20"/>
          <w:szCs w:val="20"/>
          <w:color w:val="auto"/>
        </w:rPr>
      </w:pPr>
    </w:p>
    <w:p>
      <w:pPr>
        <w:ind w:left="1480" w:right="359"/>
        <w:spacing w:after="0" w:line="248" w:lineRule="auto"/>
        <w:rPr>
          <w:sz w:val="20"/>
          <w:szCs w:val="20"/>
          <w:color w:val="auto"/>
        </w:rPr>
      </w:pPr>
      <w:r>
        <w:rPr>
          <w:rFonts w:ascii="Times New Roman" w:cs="Times New Roman" w:eastAsia="Times New Roman" w:hAnsi="Times New Roman"/>
          <w:sz w:val="14"/>
          <w:szCs w:val="14"/>
          <w:color w:val="auto"/>
        </w:rPr>
        <w:t>Shell Finance US is a special purpose financing vehicle that was formed for the purpose of raising debt for the Shell Group. Shell Finance US conducts no business or revenue-generating operations of its own. The primary business of Shell Finance US is the raising of money for the purpose of on-lending to other members of the Shell Group. The ability of Shell Finance US to satisfy its obligations in respect of the Exchange Notes, including the payment of principal and interest, will depend on payments made to Shell Finance US by Shell and other subsidiaries in the Shell Group in respect of loans and advances made by Shell Finance US as applicable.</w:t>
      </w:r>
    </w:p>
    <w:p>
      <w:pPr>
        <w:spacing w:after="0" w:line="1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The Shell Finance US Indenture does not restrict the amount of additional indebtedness that we may incur.</w:t>
      </w:r>
    </w:p>
    <w:p>
      <w:pPr>
        <w:spacing w:after="0" w:line="170" w:lineRule="exact"/>
        <w:rPr>
          <w:sz w:val="20"/>
          <w:szCs w:val="20"/>
          <w:color w:val="auto"/>
        </w:rPr>
      </w:pPr>
    </w:p>
    <w:p>
      <w:pPr>
        <w:ind w:left="1480" w:right="379"/>
        <w:spacing w:after="0" w:line="247" w:lineRule="auto"/>
        <w:rPr>
          <w:sz w:val="20"/>
          <w:szCs w:val="20"/>
          <w:color w:val="auto"/>
        </w:rPr>
      </w:pPr>
      <w:r>
        <w:rPr>
          <w:rFonts w:ascii="Times New Roman" w:cs="Times New Roman" w:eastAsia="Times New Roman" w:hAnsi="Times New Roman"/>
          <w:sz w:val="14"/>
          <w:szCs w:val="14"/>
          <w:color w:val="auto"/>
        </w:rPr>
        <w:t>The Exchange Notes will not, and the Shell Finance US Indenture under which the Exchange Notes will be issued does not, place any limitation on the amount of indebtedness that may be incurred by the Shell Group. Incurrence of additional indebtedness by the Shell Group may have important consequences for you as a holder of the Exchange Notes, including making it more difficult for Shell Finance US or Shell to satisfy its obligations with respect to the Exchange Notes, increasing the amount of indebtedness ranking equal or (if secured) effectively senior to the Exchange Notes in the event of our bankruptcy or insolvency, resulting in a loss in the trading value of your Exchange Notes, if any, and increasing the risk that the credit rating of the Exchange Notes is lowered or withdrawn.</w:t>
      </w:r>
    </w:p>
    <w:p>
      <w:pPr>
        <w:spacing w:after="0" w:line="1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Risks Relating to the Exchange Offers</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If you fail to exchange your Restricted Notes, they will continue to be restricted securities and may become less liquid.</w:t>
      </w:r>
    </w:p>
    <w:p>
      <w:pPr>
        <w:spacing w:after="0" w:line="170" w:lineRule="exact"/>
        <w:rPr>
          <w:sz w:val="20"/>
          <w:szCs w:val="20"/>
          <w:color w:val="auto"/>
        </w:rPr>
      </w:pPr>
    </w:p>
    <w:p>
      <w:pPr>
        <w:ind w:left="1480" w:right="379"/>
        <w:spacing w:after="0" w:line="247" w:lineRule="auto"/>
        <w:rPr>
          <w:sz w:val="20"/>
          <w:szCs w:val="20"/>
          <w:color w:val="auto"/>
        </w:rPr>
      </w:pPr>
      <w:r>
        <w:rPr>
          <w:rFonts w:ascii="Times New Roman" w:cs="Times New Roman" w:eastAsia="Times New Roman" w:hAnsi="Times New Roman"/>
          <w:sz w:val="14"/>
          <w:szCs w:val="14"/>
          <w:color w:val="auto"/>
        </w:rPr>
        <w:t>Restricted Notes that you do not tender or that we do not accept will, following the Exchange Offers, continue to be restricted securities, and you may not offer to sell them except pursuant to an exemption from, or in a transaction not subject to, the Securities Act and other applicable securities laws. We will issue Exchange Notes in exchange for the Restricted Notes pursuant to the Exchange Offers only following the satisfaction of the procedures and conditions set forth in “The Exchange Offers-Conditions to the Exchange Offers” and “The Exchange Offers-Procedures for Tendering Restricted Notes”. These procedures and conditions include timely receipt by the Exchange Agent of such Restricted Notes (or a confirmation of book-entry transfer).</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78"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right="45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Your ability to sell your Restricted Notes may be significantly more limited and the price at which you may be able to sell your Restricted Notes may be significantly lower if you do not exchange them for registered Exchange Notes in the Exchange Offers.</w:t>
      </w:r>
    </w:p>
    <w:p>
      <w:pPr>
        <w:spacing w:after="0" w:line="132" w:lineRule="exact"/>
        <w:rPr>
          <w:sz w:val="20"/>
          <w:szCs w:val="20"/>
          <w:color w:val="auto"/>
        </w:rPr>
      </w:pPr>
    </w:p>
    <w:p>
      <w:pPr>
        <w:ind w:left="1480" w:right="359"/>
        <w:spacing w:after="0" w:line="246" w:lineRule="auto"/>
        <w:rPr>
          <w:sz w:val="20"/>
          <w:szCs w:val="20"/>
          <w:color w:val="auto"/>
        </w:rPr>
      </w:pPr>
      <w:r>
        <w:rPr>
          <w:rFonts w:ascii="Times New Roman" w:cs="Times New Roman" w:eastAsia="Times New Roman" w:hAnsi="Times New Roman"/>
          <w:sz w:val="14"/>
          <w:szCs w:val="14"/>
          <w:color w:val="auto"/>
        </w:rPr>
        <w:t>To the extent that Restricted Notes are exchanged in the Exchange Offers, the trading market for the Restricted Notes that remain outstanding may be significantly more limited. As a result, the liquidity of the Restricted Notes not tendered for exchange in the Exchange Offers could be adversely affected. The extent of the market for Restricted Notes will depend upon a number of factors, including the number of holders of Restricted Notes remaining outstanding and the interest of securities firms in maintaining a market in the Restricted Notes. An issue of securities with a similar outstanding market value available for trading, which is called the “float,” may command a lower price than would be comparable to an issue of securities with a greater float. As a result, the market price for Restricted Notes that are not exchanged in the Exchange Offers may be affected adversely to the extent that Restricted Notes exchanged in the Exchange Offers reduce the float. The reduced float also may make the trading price of the Restricted Notes that are not exchanged more volatile.</w:t>
      </w:r>
    </w:p>
    <w:p>
      <w:pPr>
        <w:spacing w:after="0" w:line="1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If you are a broker-dealer, your ability to transfer the Exchange Notes may be restricted.</w:t>
      </w:r>
    </w:p>
    <w:p>
      <w:pPr>
        <w:spacing w:after="0" w:line="170" w:lineRule="exact"/>
        <w:rPr>
          <w:sz w:val="20"/>
          <w:szCs w:val="20"/>
          <w:color w:val="auto"/>
        </w:rPr>
      </w:pPr>
    </w:p>
    <w:p>
      <w:pPr>
        <w:ind w:left="1480" w:right="379"/>
        <w:spacing w:after="0" w:line="250" w:lineRule="auto"/>
        <w:rPr>
          <w:sz w:val="20"/>
          <w:szCs w:val="20"/>
          <w:color w:val="auto"/>
        </w:rPr>
      </w:pPr>
      <w:r>
        <w:rPr>
          <w:rFonts w:ascii="Times New Roman" w:cs="Times New Roman" w:eastAsia="Times New Roman" w:hAnsi="Times New Roman"/>
          <w:sz w:val="14"/>
          <w:szCs w:val="14"/>
          <w:color w:val="auto"/>
        </w:rPr>
        <w:t>A broker-dealer that acquired the Restricted Notes for its own account as a result of market-making activities or other trading activities must comply with the prospectus delivery requirements of the Securities Act in connection with any resale of the Exchange Notes. Our obligation to make this prospectus available to broker-dealers is limited. Consequently, we cannot guarantee that a proper prospectus will be available to broker-dealers wishing to resell their Exchange Notes.</w:t>
      </w:r>
    </w:p>
    <w:p>
      <w:pPr>
        <w:spacing w:after="0" w:line="141" w:lineRule="exact"/>
        <w:rPr>
          <w:sz w:val="20"/>
          <w:szCs w:val="20"/>
          <w:color w:val="auto"/>
        </w:rPr>
      </w:pPr>
    </w:p>
    <w:p>
      <w:pPr>
        <w:ind w:left="1480" w:right="8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Some holders who exchange their Restricted Notes may be deemed to be underwriters, and these holders will be required to comply with the registration and prospectus delivery requirements in connection with any resale transaction.</w:t>
      </w:r>
    </w:p>
    <w:p>
      <w:pPr>
        <w:spacing w:after="0" w:line="132" w:lineRule="exact"/>
        <w:rPr>
          <w:sz w:val="20"/>
          <w:szCs w:val="20"/>
          <w:color w:val="auto"/>
        </w:rPr>
      </w:pPr>
    </w:p>
    <w:p>
      <w:pPr>
        <w:jc w:val="both"/>
        <w:ind w:left="1480" w:right="659"/>
        <w:spacing w:after="0" w:line="253" w:lineRule="auto"/>
        <w:rPr>
          <w:sz w:val="20"/>
          <w:szCs w:val="20"/>
          <w:color w:val="auto"/>
        </w:rPr>
      </w:pPr>
      <w:r>
        <w:rPr>
          <w:rFonts w:ascii="Times New Roman" w:cs="Times New Roman" w:eastAsia="Times New Roman" w:hAnsi="Times New Roman"/>
          <w:sz w:val="14"/>
          <w:szCs w:val="14"/>
          <w:color w:val="auto"/>
        </w:rPr>
        <w:t>If you exchange your Restricted Notes in the Exchange Offers for the purpose of participating in a distribution of the Exchange Notes, you may be deemed to have received restricted securities and, if so, will be required to comply with the registration and prospectus delivery requirements of the Securities Act in connection with any resale transaction.</w:t>
      </w:r>
    </w:p>
    <w:p>
      <w:pPr>
        <w:spacing w:after="0" w:line="1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You may not receive Exchange Notes in the Exchange Offers if the applicable procedures for the Exchange Offers are not followed.</w:t>
      </w:r>
    </w:p>
    <w:p>
      <w:pPr>
        <w:spacing w:after="0" w:line="170" w:lineRule="exact"/>
        <w:rPr>
          <w:sz w:val="20"/>
          <w:szCs w:val="20"/>
          <w:color w:val="auto"/>
        </w:rPr>
      </w:pPr>
    </w:p>
    <w:p>
      <w:pPr>
        <w:ind w:left="1480" w:right="439"/>
        <w:spacing w:after="0" w:line="248" w:lineRule="auto"/>
        <w:rPr>
          <w:sz w:val="20"/>
          <w:szCs w:val="20"/>
          <w:color w:val="auto"/>
        </w:rPr>
      </w:pPr>
      <w:r>
        <w:rPr>
          <w:rFonts w:ascii="Times New Roman" w:cs="Times New Roman" w:eastAsia="Times New Roman" w:hAnsi="Times New Roman"/>
          <w:sz w:val="14"/>
          <w:szCs w:val="14"/>
          <w:color w:val="auto"/>
        </w:rPr>
        <w:t>We will issue the Exchange Notes in exchange for your Restricted Notes only if you tender (and do not validly withdraw) your Restricted Notes and deliver properly completed documentation for the applicable Exchange Offer. For any Exchange Offer relating to Restricted Notes, you must electronically transmit your acceptance through DTC’s ATOP and deliver any other required documents to the Exchange Agent before expiration of the Exchange Offers. There will be no letter of transmittal for the Exchange Offers. See “The Exchange Offers—Procedures for Tendering Restricted Notes” for a description of the procedures to be followed to tender your Restricted Notes.</w:t>
      </w:r>
    </w:p>
    <w:p>
      <w:pPr>
        <w:spacing w:after="0" w:line="148" w:lineRule="exact"/>
        <w:rPr>
          <w:sz w:val="20"/>
          <w:szCs w:val="20"/>
          <w:color w:val="auto"/>
        </w:rPr>
      </w:pPr>
    </w:p>
    <w:p>
      <w:pPr>
        <w:ind w:left="1480" w:right="559"/>
        <w:spacing w:after="0" w:line="348" w:lineRule="auto"/>
        <w:rPr>
          <w:sz w:val="20"/>
          <w:szCs w:val="20"/>
          <w:color w:val="auto"/>
        </w:rPr>
      </w:pPr>
      <w:r>
        <w:rPr>
          <w:rFonts w:ascii="Times New Roman" w:cs="Times New Roman" w:eastAsia="Times New Roman" w:hAnsi="Times New Roman"/>
          <w:sz w:val="12"/>
          <w:szCs w:val="12"/>
          <w:color w:val="auto"/>
        </w:rPr>
        <w:t>You should allow sufficient time to ensure delivery of the necessary documents. None of the Issuer, the Exchange Agent, or the Information Agent or any other person is under any duty to give notification of defects or irregularities with respect to the tenders of the Restricted Notes for exchange.</w:t>
      </w:r>
    </w:p>
    <w:p>
      <w:pPr>
        <w:spacing w:after="0" w:line="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78"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0" w:lineRule="exact"/>
        <w:rPr>
          <w:sz w:val="20"/>
          <w:szCs w:val="20"/>
          <w:color w:val="auto"/>
        </w:rPr>
      </w:pPr>
    </w:p>
    <w:p>
      <w:pPr>
        <w:ind w:left="1480" w:right="439"/>
        <w:spacing w:after="0" w:line="248" w:lineRule="auto"/>
        <w:rPr>
          <w:sz w:val="20"/>
          <w:szCs w:val="20"/>
          <w:color w:val="auto"/>
        </w:rPr>
      </w:pPr>
      <w:r>
        <w:rPr>
          <w:rFonts w:ascii="Times New Roman" w:cs="Times New Roman" w:eastAsia="Times New Roman" w:hAnsi="Times New Roman"/>
          <w:sz w:val="14"/>
          <w:szCs w:val="14"/>
          <w:color w:val="auto"/>
        </w:rPr>
        <w:t>We will not receive any proceeds from the exchanges of the Exchange Notes for the Restricted Notes pursuant to the Exchange Offers. In exchange for issuing the Exchange Notes, we will receive the tendered Restricted Notes, the terms of which are identical in all material respects to the Exchange Notes, except that the Exchange Notes will not contain terms with respect to transfer restrictions, registration rights and additional interest for failure to observe certain obligations in the Registration Rights Agreement. The Restricted Notes surrendered in connection with the Exchange Offers will be retired and cancelled. Accordingly, the issuance of the Exchange Notes will not result in any change in our capitalization.</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78"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THE EXCHANGE OFFERS</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Purpose of the Exchange Offers; Registration Rights</w:t>
      </w:r>
    </w:p>
    <w:p>
      <w:pPr>
        <w:spacing w:after="0" w:line="170" w:lineRule="exact"/>
        <w:rPr>
          <w:sz w:val="20"/>
          <w:szCs w:val="20"/>
          <w:color w:val="auto"/>
        </w:rPr>
      </w:pPr>
    </w:p>
    <w:p>
      <w:pPr>
        <w:ind w:left="1480" w:right="539"/>
        <w:spacing w:after="0" w:line="253" w:lineRule="auto"/>
        <w:rPr>
          <w:sz w:val="20"/>
          <w:szCs w:val="20"/>
          <w:color w:val="auto"/>
        </w:rPr>
      </w:pPr>
      <w:r>
        <w:rPr>
          <w:rFonts w:ascii="Times New Roman" w:cs="Times New Roman" w:eastAsia="Times New Roman" w:hAnsi="Times New Roman"/>
          <w:sz w:val="14"/>
          <w:szCs w:val="14"/>
          <w:color w:val="auto"/>
        </w:rPr>
        <w:t>In connection with the issuance of the Restricted Notes, Shell Finance US and Shell entered into the Registration Rights Agreement with the representatives of the dealer managers, dated December 8, 2025. In the Registration Rights Agreement, Shell and Shell Finance US agreed to, at their expense, for the benefit of the holders of the Restricted Notes:</w:t>
      </w:r>
    </w:p>
    <w:p>
      <w:pPr>
        <w:spacing w:after="0" w:line="164" w:lineRule="exact"/>
        <w:rPr>
          <w:sz w:val="20"/>
          <w:szCs w:val="20"/>
          <w:color w:val="auto"/>
        </w:rPr>
      </w:pPr>
    </w:p>
    <w:p>
      <w:pPr>
        <w:ind w:left="2220" w:right="399" w:hanging="331"/>
        <w:spacing w:after="0" w:line="248" w:lineRule="auto"/>
        <w:tabs>
          <w:tab w:leader="none" w:pos="2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their commercially reasonable efforts to (i) cause to be filed an exchange offer registration statement on the appropriate form under the Securities Act, as selected by Shell Finance US, covering an offer to the holders to exchange all Restricted Notes for a like aggregate principal amount of Exchange Notes and (ii) have such exchange offer registration statement become effective on or before the Target Registration Date (which is 365 days after the date of the Registration Rights Agreement, subject to extension for any day on which the SEC is not fully operational due to the failure of the U.S. Congress to pass relevant appropriation legislation);</w:t>
      </w:r>
    </w:p>
    <w:p>
      <w:pPr>
        <w:spacing w:after="0" w:line="168" w:lineRule="exact"/>
        <w:rPr>
          <w:rFonts w:ascii="Times New Roman" w:cs="Times New Roman" w:eastAsia="Times New Roman" w:hAnsi="Times New Roman"/>
          <w:sz w:val="14"/>
          <w:szCs w:val="14"/>
          <w:color w:val="auto"/>
        </w:rPr>
      </w:pPr>
    </w:p>
    <w:p>
      <w:pPr>
        <w:ind w:left="2220" w:right="359" w:hanging="331"/>
        <w:spacing w:after="0" w:line="253" w:lineRule="auto"/>
        <w:tabs>
          <w:tab w:leader="none" w:pos="2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 the Exchange Offer promptly after (but in no event later than 30 days after) the exchange offer registration statement is declared effective by the SEC, and use their commercially reasonable efforts to complete the Exchange Offer not later than 60 days after such effective date; and</w:t>
      </w:r>
    </w:p>
    <w:p>
      <w:pPr>
        <w:spacing w:after="0" w:line="164" w:lineRule="exact"/>
        <w:rPr>
          <w:rFonts w:ascii="Times New Roman" w:cs="Times New Roman" w:eastAsia="Times New Roman" w:hAnsi="Times New Roman"/>
          <w:sz w:val="14"/>
          <w:szCs w:val="14"/>
          <w:color w:val="auto"/>
        </w:rPr>
      </w:pPr>
    </w:p>
    <w:p>
      <w:pPr>
        <w:ind w:left="2220" w:right="819" w:hanging="331"/>
        <w:spacing w:after="0" w:line="264" w:lineRule="auto"/>
        <w:tabs>
          <w:tab w:leader="none" w:pos="2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keep the exchange offer open for not less than 20 business days from the date the related prospectus is mailed and/or electronically delivered to holders.</w:t>
      </w:r>
    </w:p>
    <w:p>
      <w:pPr>
        <w:spacing w:after="0" w:line="136" w:lineRule="exact"/>
        <w:rPr>
          <w:sz w:val="20"/>
          <w:szCs w:val="20"/>
          <w:color w:val="auto"/>
        </w:rPr>
      </w:pPr>
    </w:p>
    <w:p>
      <w:pPr>
        <w:ind w:left="1480" w:right="399"/>
        <w:spacing w:after="0" w:line="289" w:lineRule="auto"/>
        <w:rPr>
          <w:sz w:val="20"/>
          <w:szCs w:val="20"/>
          <w:color w:val="auto"/>
        </w:rPr>
      </w:pPr>
      <w:r>
        <w:rPr>
          <w:rFonts w:ascii="Times New Roman" w:cs="Times New Roman" w:eastAsia="Times New Roman" w:hAnsi="Times New Roman"/>
          <w:sz w:val="12"/>
          <w:szCs w:val="12"/>
          <w:color w:val="auto"/>
        </w:rPr>
        <w:t>We are making the Exchange Offers in reliance on the position of the SEC as described in previous no-action letters issued to third parties, including in Exxon Capital Holdings Corporation (April 13, 1988), Morgan Stanley &amp; Co., Inc. (June 5, 1991), Shearman &amp; Sterling (July 2, 1993) and similar no-action letters. However, we have not sought our own no-action letter. Based upon these interpretations by the SEC, we believe that a holder who exchanges Restricted Notes for Exchange Notes in the Exchange Offers generally may offer the Exchange Notes for resale, sell the Exchange Notes and otherwise transfer the Exchange Notes without further registration under the Securities Act and without delivery of a prospectus that satisfies the requirements of Section 10 of the Securities Act. The preceding sentence does not apply, however, to a holder who is an “affiliate” of Shell Finance US or Shell within the meaning of Rule 405 of the Securities Act. We also believe that a holder may offer, sell or transfer the Exchange Notes only if the holder acknowledges that the holder is acquiring the Exchange Notes in the ordinary course of its business and is not participating, does not intend to participate and has no arrangement or understanding with any person to participate in a “distribution,” as defined in the Securities Act, of the Exchange Notes. We have not entered into any arrangement or understanding with any person who will receive Exchange Notes in the Exchange Offers to distribute such Exchange Notes following completion of the Exchange Offers, and, to the best of our information and belief, we are not aware of any person that will participate in the Exchange Offers with a view to distribute the Exchange Notes. A holder who exchanges Restricted Notes for Exchange Notes in the Exchange Offers for the purpose of distributing such Exchange Notes cannot rely on the interpretations of the staff of the SEC in the aforementioned no-action letters, must comply with the registration and prospectus delivery requirements of the Securities Act in connection with any secondary resale of the Exchange Notes and must be identified as an underwriter in the prospectus.</w:t>
      </w:r>
    </w:p>
    <w:p>
      <w:pPr>
        <w:spacing w:after="0" w:line="200" w:lineRule="exact"/>
        <w:rPr>
          <w:sz w:val="20"/>
          <w:szCs w:val="20"/>
          <w:color w:val="auto"/>
        </w:rPr>
      </w:pPr>
    </w:p>
    <w:p>
      <w:pPr>
        <w:spacing w:after="0" w:line="252" w:lineRule="exact"/>
        <w:rPr>
          <w:sz w:val="20"/>
          <w:szCs w:val="20"/>
          <w:color w:val="auto"/>
        </w:rPr>
      </w:pPr>
    </w:p>
    <w:p>
      <w:pPr>
        <w:ind w:left="1480" w:right="379"/>
        <w:spacing w:after="0" w:line="248" w:lineRule="auto"/>
        <w:rPr>
          <w:sz w:val="20"/>
          <w:szCs w:val="20"/>
          <w:color w:val="auto"/>
        </w:rPr>
      </w:pPr>
      <w:r>
        <w:rPr>
          <w:rFonts w:ascii="Times New Roman" w:cs="Times New Roman" w:eastAsia="Times New Roman" w:hAnsi="Times New Roman"/>
          <w:sz w:val="14"/>
          <w:szCs w:val="14"/>
          <w:color w:val="auto"/>
        </w:rPr>
        <w:t>Each broker-dealer that receives the Exchange Notes for its own account in exchange for the Restricted Notes, where the Restricted Notes were acquired by it as a result of market-making activities or other trading activities, must acknowledge that it will deliver a prospectus (or, to the extent permitted by law, make available a prospectus to purchasers) meeting the requirements of the Securities Act in connection with any resale of the Exchange Notes and that it has not entered into any agreement or understanding with us or any of our “affiliates,” as defined in Rule 405 under the Securities Act, to participate in a “distribution,” as defined under the Securities</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78"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59"/>
        <w:spacing w:after="0" w:line="264" w:lineRule="auto"/>
        <w:rPr>
          <w:sz w:val="20"/>
          <w:szCs w:val="20"/>
          <w:color w:val="auto"/>
        </w:rPr>
      </w:pPr>
      <w:r>
        <w:rPr>
          <w:rFonts w:ascii="Times New Roman" w:cs="Times New Roman" w:eastAsia="Times New Roman" w:hAnsi="Times New Roman"/>
          <w:sz w:val="14"/>
          <w:szCs w:val="14"/>
          <w:color w:val="auto"/>
        </w:rPr>
        <w:t>Act, of the Exchange Notes. By so acknowledging and by delivering a prospectus, a broker-dealer will not be deemed to admit that it is an “underwriter” within the meaning of the Securities Act. See “Plan of Distribution.”</w:t>
      </w:r>
    </w:p>
    <w:p>
      <w:pPr>
        <w:spacing w:after="0" w:line="136" w:lineRule="exact"/>
        <w:rPr>
          <w:sz w:val="20"/>
          <w:szCs w:val="20"/>
          <w:color w:val="auto"/>
        </w:rPr>
      </w:pPr>
    </w:p>
    <w:p>
      <w:pPr>
        <w:ind w:left="1480" w:right="359"/>
        <w:spacing w:after="0" w:line="246" w:lineRule="auto"/>
        <w:rPr>
          <w:sz w:val="20"/>
          <w:szCs w:val="20"/>
          <w:color w:val="auto"/>
        </w:rPr>
      </w:pPr>
      <w:r>
        <w:rPr>
          <w:rFonts w:ascii="Times New Roman" w:cs="Times New Roman" w:eastAsia="Times New Roman" w:hAnsi="Times New Roman"/>
          <w:sz w:val="14"/>
          <w:szCs w:val="14"/>
          <w:color w:val="auto"/>
        </w:rPr>
        <w:t>In the event that (i) we determine that the exchange offer registration statement is not available or the Exchange Offer may not be completed because it would violate any applicable law or applicable interpretations of the staff of the SEC, or (ii) for any reason, we do not consummate the Exchange Offer by the later of the Target Registration Date and the date Shell Finance US receives a written request (“</w:t>
      </w:r>
      <w:r>
        <w:rPr>
          <w:rFonts w:ascii="Times New Roman" w:cs="Times New Roman" w:eastAsia="Times New Roman" w:hAnsi="Times New Roman"/>
          <w:sz w:val="14"/>
          <w:szCs w:val="14"/>
          <w:b w:val="1"/>
          <w:bCs w:val="1"/>
          <w:color w:val="auto"/>
        </w:rPr>
        <w:t>Shelf Request</w:t>
      </w:r>
      <w:r>
        <w:rPr>
          <w:rFonts w:ascii="Times New Roman" w:cs="Times New Roman" w:eastAsia="Times New Roman" w:hAnsi="Times New Roman"/>
          <w:sz w:val="14"/>
          <w:szCs w:val="14"/>
          <w:color w:val="auto"/>
        </w:rPr>
        <w:t>”) from any holder representing that it holds Restricted Notes that are or were ineligible to be exchanged in the Exchange Offer, then we will use our commercially reasonable efforts to cause to be filed and become effective, as soon as practicable after such determination, date or Shelf Request, as the case may be, a shelf registration statement on the appropriate form under the Securities Act providing for the sale of all the Restricted Notes by the holders thereof. We have agreed to use our commercially reasonable efforts to keep the shelf registration statement continuously effective until the date on which the Notes covered thereby cease to be Restricted Notes (“</w:t>
      </w:r>
      <w:r>
        <w:rPr>
          <w:rFonts w:ascii="Times New Roman" w:cs="Times New Roman" w:eastAsia="Times New Roman" w:hAnsi="Times New Roman"/>
          <w:sz w:val="14"/>
          <w:szCs w:val="14"/>
          <w:b w:val="1"/>
          <w:bCs w:val="1"/>
          <w:color w:val="auto"/>
        </w:rPr>
        <w:t>Shelf Effectiveness Period</w:t>
      </w:r>
      <w:r>
        <w:rPr>
          <w:rFonts w:ascii="Times New Roman" w:cs="Times New Roman" w:eastAsia="Times New Roman" w:hAnsi="Times New Roman"/>
          <w:sz w:val="14"/>
          <w:szCs w:val="14"/>
          <w:color w:val="auto"/>
        </w:rPr>
        <w:t>”).</w:t>
      </w:r>
    </w:p>
    <w:p>
      <w:pPr>
        <w:spacing w:after="0" w:line="149" w:lineRule="exact"/>
        <w:rPr>
          <w:sz w:val="20"/>
          <w:szCs w:val="20"/>
          <w:color w:val="auto"/>
        </w:rPr>
      </w:pPr>
    </w:p>
    <w:p>
      <w:pPr>
        <w:ind w:left="1480" w:right="359"/>
        <w:spacing w:after="0" w:line="246" w:lineRule="auto"/>
        <w:rPr>
          <w:sz w:val="20"/>
          <w:szCs w:val="20"/>
          <w:color w:val="auto"/>
        </w:rPr>
      </w:pPr>
      <w:r>
        <w:rPr>
          <w:rFonts w:ascii="Times New Roman" w:cs="Times New Roman" w:eastAsia="Times New Roman" w:hAnsi="Times New Roman"/>
          <w:sz w:val="14"/>
          <w:szCs w:val="14"/>
          <w:color w:val="auto"/>
        </w:rPr>
        <w:t>No holder will be entitled to have any Restricted Notes included in any shelf registration statement, or entitled to use the prospectus forming a part of such shelf registration statement, until such holder shall have delivered a completed and signed notice and questionnaire and provided such other information regarding such holder to us as contemplated by the Registration Rights Agreement. We will, in the event that a shelf registration statement is filed, provide to each participating holder whose notes are registered under such shelf registration statement copies of the prospectus that is a part of such shelf registration statement, notify each such holder when such shelf registration statement has become effective and take certain other actions as are required to permit unrestricted resales of the notes. A holder that sells notes pursuant to a shelf registration statement will be required to be named as a selling security holder in the related prospectus and to deliver a prospectus to purchasers, will be subject to certain of the civil liability provisions under the Securities Act in connection with such sales and will be bound by the provisions of the Registration Rights Agreement that are applicable to such a holder, including certain indemnification rights and obligations.</w:t>
      </w:r>
    </w:p>
    <w:p>
      <w:pPr>
        <w:spacing w:after="0" w:line="147" w:lineRule="exact"/>
        <w:rPr>
          <w:sz w:val="20"/>
          <w:szCs w:val="20"/>
          <w:color w:val="auto"/>
        </w:rPr>
      </w:pPr>
    </w:p>
    <w:p>
      <w:pPr>
        <w:ind w:left="1480" w:right="359"/>
        <w:spacing w:after="0" w:line="290" w:lineRule="auto"/>
        <w:rPr>
          <w:sz w:val="20"/>
          <w:szCs w:val="20"/>
          <w:color w:val="auto"/>
        </w:rPr>
      </w:pPr>
      <w:r>
        <w:rPr>
          <w:rFonts w:ascii="Times New Roman" w:cs="Times New Roman" w:eastAsia="Times New Roman" w:hAnsi="Times New Roman"/>
          <w:sz w:val="12"/>
          <w:szCs w:val="12"/>
          <w:color w:val="auto"/>
        </w:rPr>
        <w:t>If a Registration Default occurs with respect to a series of Restricted Notes, the interest rate on the Restricted Notes (and only the Restricted Notes) of such series will be increased by 0.25% per annum immediately following the occurrence of any Registration Default. A “</w:t>
      </w:r>
      <w:r>
        <w:rPr>
          <w:rFonts w:ascii="Times New Roman" w:cs="Times New Roman" w:eastAsia="Times New Roman" w:hAnsi="Times New Roman"/>
          <w:sz w:val="12"/>
          <w:szCs w:val="12"/>
          <w:b w:val="1"/>
          <w:bCs w:val="1"/>
          <w:color w:val="auto"/>
        </w:rPr>
        <w:t>Registration Default</w:t>
      </w:r>
      <w:r>
        <w:rPr>
          <w:rFonts w:ascii="Times New Roman" w:cs="Times New Roman" w:eastAsia="Times New Roman" w:hAnsi="Times New Roman"/>
          <w:sz w:val="12"/>
          <w:szCs w:val="12"/>
          <w:color w:val="auto"/>
        </w:rPr>
        <w:t>” occurs if: (1) the exchange offer registration statement is not deemed effective on or prior to the Target Registration Date; (2) the Exchange Offer is not consummated prior to the Target Registration Date and, if a shelf registration statement is required, such shelf registration statement is not declared effective on or prior to the later of (x) the Target Registration Date and (y) 60 days after delivery of the applicable Shelf Request; or (3) if a shelf registration statement is required and after being declared effective, such shelf registration statement ceases to be effective or the prospectus contained therein ceases to be usable for resales of Restricted Notes (a) on more than two occasions of at least 30 consecutive days during the Shelf Effectiveness Period or (b) at any time in any 12-month period and such failure to remain effective or usable exists for more than 120 days (whether or not consecutive) in any 12-month period. Each of the foregoing time periods will be extended for each day (if any) after the date of the Registration Rights Agreement that the SEC is not fully operational due to the failure of the U.S. Congress to pass relevant appropriation legislation. Such additional interest shall accrue from and including the date that the applicable Registration Default occurs and is continuing to but excluding the date that such Registration Default ends. Any amounts of additional interest due will be payable in cash on the regular interest payment dates of the Notes.</w:t>
      </w:r>
    </w:p>
    <w:p>
      <w:pPr>
        <w:spacing w:after="0" w:line="288" w:lineRule="exact"/>
        <w:rPr>
          <w:sz w:val="20"/>
          <w:szCs w:val="20"/>
          <w:color w:val="auto"/>
        </w:rPr>
      </w:pPr>
    </w:p>
    <w:p>
      <w:pPr>
        <w:ind w:left="1480" w:right="479"/>
        <w:spacing w:after="0" w:line="300" w:lineRule="auto"/>
        <w:rPr>
          <w:sz w:val="20"/>
          <w:szCs w:val="20"/>
          <w:color w:val="auto"/>
        </w:rPr>
      </w:pPr>
      <w:r>
        <w:rPr>
          <w:rFonts w:ascii="Times New Roman" w:cs="Times New Roman" w:eastAsia="Times New Roman" w:hAnsi="Times New Roman"/>
          <w:sz w:val="12"/>
          <w:szCs w:val="12"/>
          <w:color w:val="auto"/>
        </w:rPr>
        <w:t>Pursuant to the Registration Rights Agreement, each Restricted Note of a series will constitute a “registrable security” until the earliest to occur of the following: (i) when a registration statement with respect to such Notes has become effective under the Securities Act and such Notes have been exchanged or disposed of pursuant to such registration statement, (ii) when such Notes cease to be outstanding, (iii) when such Notes have been resold pursuant to Rule 144 (or any successor provision) under the Securities Act (but not Rule 144A), provided that we shall have removed or caused to be removed any restrictive legend on such Notes, or (iv) the date that is three years after the date of the Registration Rights Agreement.</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78"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659"/>
        <w:spacing w:after="0" w:line="253" w:lineRule="auto"/>
        <w:rPr>
          <w:sz w:val="20"/>
          <w:szCs w:val="20"/>
          <w:color w:val="auto"/>
        </w:rPr>
      </w:pPr>
      <w:r>
        <w:rPr>
          <w:rFonts w:ascii="Times New Roman" w:cs="Times New Roman" w:eastAsia="Times New Roman" w:hAnsi="Times New Roman"/>
          <w:sz w:val="14"/>
          <w:szCs w:val="14"/>
          <w:color w:val="auto"/>
        </w:rPr>
        <w:t>The Exchange Offers are intended to satisfy our obligations under the Registration Rights Agreement. The summary of the Registration Rights Agreement is not complete. You are encouraged to read the full text of the Registration Rights Agreement, which has been filed as an exhibit to the registration statement that includes this prospectus.</w:t>
      </w:r>
    </w:p>
    <w:p>
      <w:pPr>
        <w:spacing w:after="0" w:line="1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Terms of the Exchange Offers</w:t>
      </w:r>
    </w:p>
    <w:p>
      <w:pPr>
        <w:spacing w:after="0" w:line="1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We are offering to exchange:</w:t>
      </w:r>
    </w:p>
    <w:p>
      <w:pPr>
        <w:spacing w:after="0" w:line="186" w:lineRule="exact"/>
        <w:rPr>
          <w:sz w:val="20"/>
          <w:szCs w:val="20"/>
          <w:color w:val="auto"/>
        </w:rPr>
      </w:pPr>
    </w:p>
    <w:p>
      <w:pPr>
        <w:ind w:left="2220" w:right="479" w:hanging="331"/>
        <w:spacing w:after="0" w:line="264" w:lineRule="auto"/>
        <w:tabs>
          <w:tab w:leader="none" w:pos="2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$920,732,000 aggregate principal amount of the Exchange 3.875% 2028 Notes which have been registered under the Securities Act for a like amount of the unregistered Restricted 3.875% 2028 Notes,</w:t>
      </w:r>
    </w:p>
    <w:p>
      <w:pPr>
        <w:spacing w:after="0" w:line="155" w:lineRule="exact"/>
        <w:rPr>
          <w:rFonts w:ascii="Times New Roman" w:cs="Times New Roman" w:eastAsia="Times New Roman" w:hAnsi="Times New Roman"/>
          <w:sz w:val="14"/>
          <w:szCs w:val="14"/>
          <w:color w:val="auto"/>
        </w:rPr>
      </w:pPr>
    </w:p>
    <w:p>
      <w:pPr>
        <w:ind w:left="2220" w:right="379" w:hanging="331"/>
        <w:spacing w:after="0" w:line="264" w:lineRule="auto"/>
        <w:tabs>
          <w:tab w:leader="none" w:pos="2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$2,063,148,000 aggregate principal amount of the Exchange 6.375% 2038 Notes which have been registered under the Securities Act for a like principal amount of the unregistered Restricted 6.375% 2038 Notes,</w:t>
      </w:r>
    </w:p>
    <w:p>
      <w:pPr>
        <w:spacing w:after="0" w:line="155" w:lineRule="exact"/>
        <w:rPr>
          <w:rFonts w:ascii="Times New Roman" w:cs="Times New Roman" w:eastAsia="Times New Roman" w:hAnsi="Times New Roman"/>
          <w:sz w:val="14"/>
          <w:szCs w:val="14"/>
          <w:color w:val="auto"/>
        </w:rPr>
      </w:pPr>
    </w:p>
    <w:p>
      <w:pPr>
        <w:ind w:left="2220" w:right="479" w:hanging="331"/>
        <w:spacing w:after="0" w:line="264" w:lineRule="auto"/>
        <w:tabs>
          <w:tab w:leader="none" w:pos="2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$802,108,000 aggregate principal amount of the Exchange 5.500% 2040 Notes which have been registered under the Securities Act for a like principal amount of the unregistered Restricted 5.500% 2040 Notes,</w:t>
      </w:r>
    </w:p>
    <w:p>
      <w:pPr>
        <w:spacing w:after="0" w:line="155" w:lineRule="exact"/>
        <w:rPr>
          <w:rFonts w:ascii="Times New Roman" w:cs="Times New Roman" w:eastAsia="Times New Roman" w:hAnsi="Times New Roman"/>
          <w:sz w:val="14"/>
          <w:szCs w:val="14"/>
          <w:color w:val="auto"/>
        </w:rPr>
      </w:pPr>
    </w:p>
    <w:p>
      <w:pPr>
        <w:ind w:left="2220" w:right="479" w:hanging="331"/>
        <w:spacing w:after="0" w:line="264" w:lineRule="auto"/>
        <w:tabs>
          <w:tab w:leader="none" w:pos="2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$691,199,000 aggregate principal amount of the Exchange 5.125% 2041 Notes which have been registered under the Securities Act for a like principal amount of the unregistered Restricted 5.125% 2041 Notes,</w:t>
      </w:r>
    </w:p>
    <w:p>
      <w:pPr>
        <w:spacing w:after="0" w:line="155" w:lineRule="exact"/>
        <w:rPr>
          <w:rFonts w:ascii="Times New Roman" w:cs="Times New Roman" w:eastAsia="Times New Roman" w:hAnsi="Times New Roman"/>
          <w:sz w:val="14"/>
          <w:szCs w:val="14"/>
          <w:color w:val="auto"/>
        </w:rPr>
      </w:pPr>
    </w:p>
    <w:p>
      <w:pPr>
        <w:ind w:left="2220" w:right="479" w:hanging="331"/>
        <w:spacing w:after="0" w:line="264" w:lineRule="auto"/>
        <w:tabs>
          <w:tab w:leader="none" w:pos="2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$993,714,000 aggregate principal amount of the Exchange 3.125% 2049 Notes which have been registered under the Securities Act for a like principal amount of the unregistered Restricted 3.125% 2049 Notes, and</w:t>
      </w:r>
    </w:p>
    <w:p>
      <w:pPr>
        <w:spacing w:after="0" w:line="155" w:lineRule="exact"/>
        <w:rPr>
          <w:rFonts w:ascii="Times New Roman" w:cs="Times New Roman" w:eastAsia="Times New Roman" w:hAnsi="Times New Roman"/>
          <w:sz w:val="14"/>
          <w:szCs w:val="14"/>
          <w:color w:val="auto"/>
        </w:rPr>
      </w:pPr>
    </w:p>
    <w:p>
      <w:pPr>
        <w:ind w:left="2220" w:right="479" w:hanging="331"/>
        <w:spacing w:after="0" w:line="264" w:lineRule="auto"/>
        <w:tabs>
          <w:tab w:leader="none" w:pos="2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$876,828,000 aggregate principal amount of the Exchange 3.000% 2051 Notes which have been registered under the Securities Act for a like principal amount of the unregistered Restricted 3.000% 2051 Notes.</w:t>
      </w:r>
    </w:p>
    <w:p>
      <w:pPr>
        <w:spacing w:after="0" w:line="136" w:lineRule="exact"/>
        <w:rPr>
          <w:sz w:val="20"/>
          <w:szCs w:val="20"/>
          <w:color w:val="auto"/>
        </w:rPr>
      </w:pPr>
    </w:p>
    <w:p>
      <w:pPr>
        <w:ind w:left="1480" w:right="459"/>
        <w:spacing w:after="0" w:line="248" w:lineRule="auto"/>
        <w:rPr>
          <w:sz w:val="20"/>
          <w:szCs w:val="20"/>
          <w:color w:val="auto"/>
        </w:rPr>
      </w:pPr>
      <w:r>
        <w:rPr>
          <w:rFonts w:ascii="Times New Roman" w:cs="Times New Roman" w:eastAsia="Times New Roman" w:hAnsi="Times New Roman"/>
          <w:sz w:val="14"/>
          <w:szCs w:val="14"/>
          <w:color w:val="auto"/>
        </w:rPr>
        <w:t>Upon the terms and subject to the conditions set forth in this prospectus, we will accept all Restricted Notes validly tendered and not withdrawn before 5:00 p.m., New York City time, on the expiration date of the Exchange Offers. We will issue $1,000 principal amount of Exchange Notes in exchange for each $1,000 principal amount of outstanding Restricted Notes we accept in the Exchange Offers. Holders may tender some or all of their Restricted Notes pursuant to the Exchange Offers in denominations of $1,000 and integral multiples of $1,000 in excess thereof. The Exchange Offers are not conditioned upon any minimum amount of Restricted Notes being tendered.</w:t>
      </w:r>
    </w:p>
    <w:p>
      <w:pPr>
        <w:spacing w:after="0" w:line="14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form and terms of the Exchange Notes will be the same as the form and terms of the Restricted Notes, except that:</w:t>
      </w:r>
    </w:p>
    <w:p>
      <w:pPr>
        <w:spacing w:after="0" w:line="186" w:lineRule="exact"/>
        <w:rPr>
          <w:sz w:val="20"/>
          <w:szCs w:val="20"/>
          <w:color w:val="auto"/>
        </w:rPr>
      </w:pPr>
    </w:p>
    <w:p>
      <w:pPr>
        <w:ind w:left="2220" w:hanging="331"/>
        <w:spacing w:after="0"/>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Notes will have a different CUSIP number from the Restricted Notes;</w:t>
      </w:r>
    </w:p>
    <w:p>
      <w:pPr>
        <w:spacing w:after="0" w:line="185" w:lineRule="exact"/>
        <w:rPr>
          <w:rFonts w:ascii="Times New Roman" w:cs="Times New Roman" w:eastAsia="Times New Roman" w:hAnsi="Times New Roman"/>
          <w:sz w:val="14"/>
          <w:szCs w:val="14"/>
          <w:color w:val="auto"/>
        </w:rPr>
      </w:pPr>
    </w:p>
    <w:p>
      <w:pPr>
        <w:ind w:left="2220" w:right="539" w:hanging="331"/>
        <w:spacing w:after="0" w:line="264" w:lineRule="auto"/>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Notes will be registered under the Securities Act and thus will not be subject to the restrictions on transfer or bear legends restricting their transfer;</w:t>
      </w:r>
    </w:p>
    <w:p>
      <w:pPr>
        <w:spacing w:after="0" w:line="15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Notes will not be subject to the registration rights relating to the Restricted Notes; and</w:t>
      </w:r>
    </w:p>
    <w:p>
      <w:pPr>
        <w:spacing w:after="0" w:line="185" w:lineRule="exact"/>
        <w:rPr>
          <w:rFonts w:ascii="Times New Roman" w:cs="Times New Roman" w:eastAsia="Times New Roman" w:hAnsi="Times New Roman"/>
          <w:sz w:val="14"/>
          <w:szCs w:val="14"/>
          <w:color w:val="auto"/>
        </w:rPr>
      </w:pPr>
    </w:p>
    <w:p>
      <w:pPr>
        <w:ind w:left="2220" w:right="659" w:hanging="331"/>
        <w:spacing w:after="0" w:line="264" w:lineRule="auto"/>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Notes will not provide for the payment of additional interest under circumstances relating to the timing of the Exchange Offers.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78"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79"/>
        <w:spacing w:after="0" w:line="294" w:lineRule="auto"/>
        <w:rPr>
          <w:sz w:val="20"/>
          <w:szCs w:val="20"/>
          <w:color w:val="auto"/>
        </w:rPr>
      </w:pPr>
      <w:r>
        <w:rPr>
          <w:rFonts w:ascii="Times New Roman" w:cs="Times New Roman" w:eastAsia="Times New Roman" w:hAnsi="Times New Roman"/>
          <w:sz w:val="12"/>
          <w:szCs w:val="12"/>
          <w:color w:val="auto"/>
        </w:rPr>
        <w:t>The Exchange Notes will evidence the same debt as the Restricted Notes and will be issued under, and be entitled to the benefits of, the Indenture governing the Restricted Notes. The Exchange Notes will accrue interest from the most recent date to which interest has been paid on the Restricted Notes or, if no interest has yet been paid on the corresponding Restricted Note, the corresponding debt security issued by Shell International Finance or BGEC (as applicable) for which such Restricted Note was exchanged. Accordingly, registered holders of Exchange Notes on the record date for the first interest payment date following the completion of the Exchange Offers will receive interest accrued from the most recent date to which interest has been paid on the Restricted Notes. However, if that record date occurs prior to completion of the Exchange Offers, then the interest payable on the first interest payment date following the completion of the Exchange Offers will be paid to the registered holders of the Restricted Notes on that record date.</w:t>
      </w:r>
    </w:p>
    <w:p>
      <w:pPr>
        <w:spacing w:after="0" w:line="123" w:lineRule="exact"/>
        <w:rPr>
          <w:sz w:val="20"/>
          <w:szCs w:val="20"/>
          <w:color w:val="auto"/>
        </w:rPr>
      </w:pPr>
    </w:p>
    <w:p>
      <w:pPr>
        <w:ind w:left="1480" w:right="399"/>
        <w:spacing w:after="0" w:line="305" w:lineRule="auto"/>
        <w:rPr>
          <w:sz w:val="20"/>
          <w:szCs w:val="20"/>
          <w:color w:val="auto"/>
        </w:rPr>
      </w:pPr>
      <w:r>
        <w:rPr>
          <w:rFonts w:ascii="Times New Roman" w:cs="Times New Roman" w:eastAsia="Times New Roman" w:hAnsi="Times New Roman"/>
          <w:sz w:val="12"/>
          <w:szCs w:val="12"/>
          <w:color w:val="auto"/>
        </w:rPr>
        <w:t>In connection with the Exchange Offers, you do not have any appraisal or dissenters’ rights. We intend to conduct the Exchange Offers in accordance with the registration rights agreement and the applicable requirements of the Securities Act, the Exchange Act, and the rules and regulations of the SEC. The Exchange Offers are not being made to, nor will we accept tenders for exchange from, a holder of the Restricted Notes in any jurisdiction in which the Exchange Offers or the acceptance thereof would not be in compliance with the securities or blue sky laws of the jurisdiction.</w:t>
      </w:r>
    </w:p>
    <w:p>
      <w:pPr>
        <w:spacing w:after="0" w:line="115" w:lineRule="exact"/>
        <w:rPr>
          <w:sz w:val="20"/>
          <w:szCs w:val="20"/>
          <w:color w:val="auto"/>
        </w:rPr>
      </w:pPr>
    </w:p>
    <w:p>
      <w:pPr>
        <w:ind w:left="1480" w:right="619"/>
        <w:spacing w:after="0" w:line="264" w:lineRule="auto"/>
        <w:rPr>
          <w:sz w:val="20"/>
          <w:szCs w:val="20"/>
          <w:color w:val="auto"/>
        </w:rPr>
      </w:pPr>
      <w:r>
        <w:rPr>
          <w:rFonts w:ascii="Times New Roman" w:cs="Times New Roman" w:eastAsia="Times New Roman" w:hAnsi="Times New Roman"/>
          <w:sz w:val="14"/>
          <w:szCs w:val="14"/>
          <w:color w:val="auto"/>
        </w:rPr>
        <w:t>We will be deemed to have accepted validly tendered Restricted Notes when we have given oral or written notice of our acceptance to the Exchange Agent. The Exchange Agent will act as agent for the tendering holders for the purpose of receiving the Exchange Notes from us.</w:t>
      </w:r>
    </w:p>
    <w:p>
      <w:pPr>
        <w:spacing w:after="0" w:line="136" w:lineRule="exact"/>
        <w:rPr>
          <w:sz w:val="20"/>
          <w:szCs w:val="20"/>
          <w:color w:val="auto"/>
        </w:rPr>
      </w:pPr>
    </w:p>
    <w:p>
      <w:pPr>
        <w:ind w:left="1480" w:right="579"/>
        <w:spacing w:after="0" w:line="264" w:lineRule="auto"/>
        <w:rPr>
          <w:sz w:val="20"/>
          <w:szCs w:val="20"/>
          <w:color w:val="auto"/>
        </w:rPr>
      </w:pPr>
      <w:r>
        <w:rPr>
          <w:rFonts w:ascii="Times New Roman" w:cs="Times New Roman" w:eastAsia="Times New Roman" w:hAnsi="Times New Roman"/>
          <w:sz w:val="14"/>
          <w:szCs w:val="14"/>
          <w:color w:val="auto"/>
        </w:rPr>
        <w:t>If we do not accept any tendered Restricted Notes because of an invalid tender or for any other reason, then we will return any unaccepted Restricted Notes without expense to the tendering holder as promptly as practicable after the expiration date.</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Resale of the Exchange Notes</w:t>
      </w:r>
    </w:p>
    <w:p>
      <w:pPr>
        <w:spacing w:after="0" w:line="170" w:lineRule="exact"/>
        <w:rPr>
          <w:sz w:val="20"/>
          <w:szCs w:val="20"/>
          <w:color w:val="auto"/>
        </w:rPr>
      </w:pPr>
    </w:p>
    <w:p>
      <w:pPr>
        <w:ind w:left="1480" w:right="579"/>
        <w:spacing w:after="0" w:line="316" w:lineRule="auto"/>
        <w:rPr>
          <w:sz w:val="20"/>
          <w:szCs w:val="20"/>
          <w:color w:val="auto"/>
        </w:rPr>
      </w:pPr>
      <w:r>
        <w:rPr>
          <w:rFonts w:ascii="Times New Roman" w:cs="Times New Roman" w:eastAsia="Times New Roman" w:hAnsi="Times New Roman"/>
          <w:sz w:val="12"/>
          <w:szCs w:val="12"/>
          <w:color w:val="auto"/>
        </w:rPr>
        <w:t>Based on interpretations of the staff of the SEC, as set forth in no action letters to third parties, we believe that Exchange Notes issued under the Exchange Offers in exchange for Restricted Notes may be offered for resale, resold and otherwise transferred by any Restricted Note holder without further registration under the Securities Act and without delivery of a prospectus that satisfies the requirements of Section 10 of the Securities Act if:</w:t>
      </w:r>
    </w:p>
    <w:p>
      <w:pPr>
        <w:spacing w:after="0" w:line="128" w:lineRule="exact"/>
        <w:rPr>
          <w:sz w:val="20"/>
          <w:szCs w:val="20"/>
          <w:color w:val="auto"/>
        </w:rPr>
      </w:pPr>
    </w:p>
    <w:p>
      <w:pPr>
        <w:ind w:left="2220" w:hanging="331"/>
        <w:spacing w:after="0"/>
        <w:tabs>
          <w:tab w:leader="none" w:pos="2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Notes are acquired in the ordinary course of the holder’s business;</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does not intend to participate in a distribution (within the meaning of the Securities Act) of the Exchange Notes; and</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is not our “affiliate” within the meaning of Rule 405 under the Securities Act.</w:t>
      </w:r>
    </w:p>
    <w:p>
      <w:pPr>
        <w:spacing w:after="0" w:line="166" w:lineRule="exact"/>
        <w:rPr>
          <w:sz w:val="20"/>
          <w:szCs w:val="20"/>
          <w:color w:val="auto"/>
        </w:rPr>
      </w:pPr>
    </w:p>
    <w:p>
      <w:pPr>
        <w:ind w:left="1480" w:right="479"/>
        <w:spacing w:after="0" w:line="348" w:lineRule="auto"/>
        <w:rPr>
          <w:sz w:val="20"/>
          <w:szCs w:val="20"/>
          <w:color w:val="auto"/>
        </w:rPr>
      </w:pPr>
      <w:r>
        <w:rPr>
          <w:rFonts w:ascii="Times New Roman" w:cs="Times New Roman" w:eastAsia="Times New Roman" w:hAnsi="Times New Roman"/>
          <w:sz w:val="12"/>
          <w:szCs w:val="12"/>
          <w:color w:val="auto"/>
        </w:rPr>
        <w:t>Any holder who exchanges Restricted Notes in the Exchange Offers with the intention of participating in any manner in a distribution of the Exchange Notes must comply with the registration and prospectus delivery requirements of the Securities Act in connection with a secondary resale transaction.</w:t>
      </w:r>
    </w:p>
    <w:p>
      <w:pPr>
        <w:spacing w:after="0" w:line="90" w:lineRule="exact"/>
        <w:rPr>
          <w:sz w:val="20"/>
          <w:szCs w:val="20"/>
          <w:color w:val="auto"/>
        </w:rPr>
      </w:pPr>
    </w:p>
    <w:p>
      <w:pPr>
        <w:ind w:left="1480" w:right="419"/>
        <w:spacing w:after="0" w:line="247" w:lineRule="auto"/>
        <w:rPr>
          <w:sz w:val="20"/>
          <w:szCs w:val="20"/>
          <w:color w:val="auto"/>
        </w:rPr>
      </w:pPr>
      <w:r>
        <w:rPr>
          <w:rFonts w:ascii="Times New Roman" w:cs="Times New Roman" w:eastAsia="Times New Roman" w:hAnsi="Times New Roman"/>
          <w:sz w:val="14"/>
          <w:szCs w:val="14"/>
          <w:color w:val="auto"/>
        </w:rPr>
        <w:t>With regard to broker-dealers, only broker-dealers that acquire the Restricted Notes as a result of market-making activities or other trading activities may participate in the Exchange Offers. This prospectus, as it may be amended or supplemented from time to time, may be used by a broker-dealer in connection with resales of Exchange Notes received in exchange for Restricted Notes where such Restricted Notes were acquired by such broker-dealer as a result of market-making activities or other trading activities. We have agreed that, for a period of 90 days after the date on which the registration statement, of which this prospectus forms a part, has been declared effective, we will make this prospectus available to any broker-dealer for use in connection with any such resale. See “Plan of Distribution.”</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78"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Expiration Time</w:t>
      </w:r>
    </w:p>
    <w:p>
      <w:pPr>
        <w:spacing w:after="0" w:line="166" w:lineRule="exact"/>
        <w:rPr>
          <w:sz w:val="20"/>
          <w:szCs w:val="20"/>
          <w:color w:val="auto"/>
        </w:rPr>
      </w:pPr>
    </w:p>
    <w:p>
      <w:pPr>
        <w:ind w:left="1480" w:right="359"/>
        <w:spacing w:after="0" w:line="270" w:lineRule="auto"/>
        <w:rPr>
          <w:sz w:val="20"/>
          <w:szCs w:val="20"/>
          <w:color w:val="auto"/>
        </w:rPr>
      </w:pP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color w:val="auto"/>
        </w:rPr>
        <w:t>Expiration Time</w:t>
      </w:r>
      <w:r>
        <w:rPr>
          <w:rFonts w:ascii="Times New Roman" w:cs="Times New Roman" w:eastAsia="Times New Roman" w:hAnsi="Times New Roman"/>
          <w:sz w:val="14"/>
          <w:szCs w:val="14"/>
          <w:color w:val="auto"/>
        </w:rPr>
        <w:t>” is 5:00 p.m., New York City time, on       , 2026, unless extended by us in our sole and absolute discretion, in which case the Expiration Time will be such time and date to which the Expiration Time is extended.</w:t>
      </w:r>
    </w:p>
    <w:p>
      <w:pPr>
        <w:spacing w:after="0" w:line="132" w:lineRule="exact"/>
        <w:rPr>
          <w:sz w:val="20"/>
          <w:szCs w:val="20"/>
          <w:color w:val="auto"/>
        </w:rPr>
      </w:pPr>
    </w:p>
    <w:p>
      <w:pPr>
        <w:ind w:left="1480" w:right="1059"/>
        <w:spacing w:after="0" w:line="264" w:lineRule="auto"/>
        <w:rPr>
          <w:sz w:val="20"/>
          <w:szCs w:val="20"/>
          <w:color w:val="auto"/>
        </w:rPr>
      </w:pPr>
      <w:r>
        <w:rPr>
          <w:rFonts w:ascii="Times New Roman" w:cs="Times New Roman" w:eastAsia="Times New Roman" w:hAnsi="Times New Roman"/>
          <w:sz w:val="14"/>
          <w:szCs w:val="14"/>
          <w:color w:val="auto"/>
        </w:rPr>
        <w:t>We may extend the Expiration Time for any reason, subject to applicable law, as further described in “— Extensions; Amendments; Waiver; Termination” below.</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Settlement Date</w:t>
      </w:r>
    </w:p>
    <w:p>
      <w:pPr>
        <w:spacing w:after="0" w:line="170" w:lineRule="exact"/>
        <w:rPr>
          <w:sz w:val="20"/>
          <w:szCs w:val="20"/>
          <w:color w:val="auto"/>
        </w:rPr>
      </w:pPr>
    </w:p>
    <w:p>
      <w:pPr>
        <w:ind w:left="1480" w:right="599"/>
        <w:spacing w:after="0" w:line="250" w:lineRule="auto"/>
        <w:rPr>
          <w:sz w:val="20"/>
          <w:szCs w:val="20"/>
          <w:color w:val="auto"/>
        </w:rPr>
      </w:pPr>
      <w:r>
        <w:rPr>
          <w:rFonts w:ascii="Times New Roman" w:cs="Times New Roman" w:eastAsia="Times New Roman" w:hAnsi="Times New Roman"/>
          <w:sz w:val="14"/>
          <w:szCs w:val="14"/>
          <w:color w:val="auto"/>
        </w:rPr>
        <w:t>If, as of the Expiration Time, all conditions have been or are concurrently satisfied or, where permitted, waived by us, the Issuer will issue Exchange Notes in book-entry form promptly on the “</w:t>
      </w:r>
      <w:r>
        <w:rPr>
          <w:rFonts w:ascii="Times New Roman" w:cs="Times New Roman" w:eastAsia="Times New Roman" w:hAnsi="Times New Roman"/>
          <w:sz w:val="14"/>
          <w:szCs w:val="14"/>
          <w:b w:val="1"/>
          <w:bCs w:val="1"/>
          <w:color w:val="auto"/>
        </w:rPr>
        <w:t>Settlement Date</w:t>
      </w:r>
      <w:r>
        <w:rPr>
          <w:rFonts w:ascii="Times New Roman" w:cs="Times New Roman" w:eastAsia="Times New Roman" w:hAnsi="Times New Roman"/>
          <w:sz w:val="14"/>
          <w:szCs w:val="14"/>
          <w:color w:val="auto"/>
        </w:rPr>
        <w:t>” (which is expected to be the third business day immediately following the Expiration Time), in exchange for all Restricted Notes validly tendered and accepted prior to the Expiration Time, other than any Restricted Notes validly withdrawn prior to the Expiration Time.</w:t>
      </w:r>
    </w:p>
    <w:p>
      <w:pPr>
        <w:spacing w:after="0" w:line="145" w:lineRule="exact"/>
        <w:rPr>
          <w:sz w:val="20"/>
          <w:szCs w:val="20"/>
          <w:color w:val="auto"/>
        </w:rPr>
      </w:pPr>
    </w:p>
    <w:p>
      <w:pPr>
        <w:ind w:left="1480" w:right="379"/>
        <w:spacing w:after="0" w:line="246" w:lineRule="auto"/>
        <w:rPr>
          <w:sz w:val="20"/>
          <w:szCs w:val="20"/>
          <w:color w:val="auto"/>
        </w:rPr>
      </w:pPr>
      <w:r>
        <w:rPr>
          <w:rFonts w:ascii="Times New Roman" w:cs="Times New Roman" w:eastAsia="Times New Roman" w:hAnsi="Times New Roman"/>
          <w:sz w:val="14"/>
          <w:szCs w:val="14"/>
          <w:color w:val="auto"/>
        </w:rPr>
        <w:t>We will be deemed to have accepted validly tendered Restricted Notes that were not validly withdrawn, subject to the conditions described herein, if and when we have given oral or written notice thereof to the Exchange Agent. Subject to the terms and conditions of the Exchange Offers, delivery of Exchange Notes in connection with the exchange of Restricted Notes accepted by us will be made by the Exchange Agent on the Settlement Date upon receipt of such notice. The Exchange Agent will act as agent for participating holders of the Restricted Notes for the purpose of accepting Restricted Notes from, and transmitting Exchange Notes to, such holders. If any tendered Restricted Notes are not accepted for any reason set forth in the terms and conditions of the Exchange Offers or if Restricted Notes are validly withdrawn prior to the Expiration Time of the Exchange Offers, such unaccepted or withdrawn Restricted Notes will be returned without expense to the tendering holder promptly after the expiration or termination of the Exchange Offers.</w:t>
      </w:r>
    </w:p>
    <w:p>
      <w:pPr>
        <w:spacing w:after="0" w:line="1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Conditions to the Exchange Offers</w:t>
      </w:r>
    </w:p>
    <w:p>
      <w:pPr>
        <w:spacing w:after="0" w:line="170" w:lineRule="exact"/>
        <w:rPr>
          <w:sz w:val="20"/>
          <w:szCs w:val="20"/>
          <w:color w:val="auto"/>
        </w:rPr>
      </w:pPr>
    </w:p>
    <w:p>
      <w:pPr>
        <w:ind w:left="1480" w:right="439"/>
        <w:spacing w:after="0" w:line="250" w:lineRule="auto"/>
        <w:rPr>
          <w:sz w:val="20"/>
          <w:szCs w:val="20"/>
          <w:color w:val="auto"/>
        </w:rPr>
      </w:pPr>
      <w:r>
        <w:rPr>
          <w:rFonts w:ascii="Times New Roman" w:cs="Times New Roman" w:eastAsia="Times New Roman" w:hAnsi="Times New Roman"/>
          <w:sz w:val="14"/>
          <w:szCs w:val="14"/>
          <w:color w:val="auto"/>
        </w:rPr>
        <w:t>Holders must validly tender (and not validly withdraw) the Restricted Notes in at least the minimum denomination of $1,000. The Exchange Notes will be issued only in minimum denominations of $1,000 and whole multiples of $1,000 thereafter. We will not accept tenders of Restricted Notes if such tender would result in the holder thereof receiving in the applicable Exchange Offer an amount of Exchange Notes below the applicable minimum denomination.</w:t>
      </w:r>
    </w:p>
    <w:p>
      <w:pPr>
        <w:spacing w:after="0" w:line="1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Notwithstanding any other term of the Exchange Offers, we will not be required to accept for exchange, or to exchange Exchange Notes for, any</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Restricted Notes if:</w:t>
      </w:r>
    </w:p>
    <w:p>
      <w:pPr>
        <w:spacing w:after="0" w:line="174" w:lineRule="exact"/>
        <w:rPr>
          <w:sz w:val="20"/>
          <w:szCs w:val="20"/>
          <w:color w:val="auto"/>
        </w:rPr>
      </w:pPr>
    </w:p>
    <w:p>
      <w:pPr>
        <w:ind w:left="2220" w:right="739" w:hanging="331"/>
        <w:spacing w:after="0" w:line="264" w:lineRule="auto"/>
        <w:tabs>
          <w:tab w:leader="none" w:pos="2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Offers, or the making of any exchange by a holder of Restricted Notes, would violate any applicable law or applicable interpretation by the staff of the SEC;</w:t>
      </w:r>
    </w:p>
    <w:p>
      <w:pPr>
        <w:spacing w:after="0" w:line="155" w:lineRule="exact"/>
        <w:rPr>
          <w:rFonts w:ascii="Times New Roman" w:cs="Times New Roman" w:eastAsia="Times New Roman" w:hAnsi="Times New Roman"/>
          <w:sz w:val="14"/>
          <w:szCs w:val="14"/>
          <w:color w:val="auto"/>
        </w:rPr>
      </w:pPr>
    </w:p>
    <w:p>
      <w:pPr>
        <w:ind w:left="2220" w:right="619" w:hanging="331"/>
        <w:spacing w:after="0" w:line="348" w:lineRule="auto"/>
        <w:tabs>
          <w:tab w:leader="none" w:pos="22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action or proceeding is instituted or threatened in any court or by or before any governmental agency with respect to the Exchange Offers which, in our reasonable judgment, would reasonably be expected to impair our ability to proceed with the Exchange Offers;</w:t>
      </w:r>
    </w:p>
    <w:p>
      <w:pPr>
        <w:spacing w:after="0" w:line="109" w:lineRule="exact"/>
        <w:rPr>
          <w:rFonts w:ascii="Times New Roman" w:cs="Times New Roman" w:eastAsia="Times New Roman" w:hAnsi="Times New Roman"/>
          <w:sz w:val="12"/>
          <w:szCs w:val="12"/>
          <w:color w:val="auto"/>
        </w:rPr>
      </w:pPr>
    </w:p>
    <w:p>
      <w:pPr>
        <w:ind w:left="2220" w:right="679" w:hanging="331"/>
        <w:spacing w:after="0" w:line="264" w:lineRule="auto"/>
        <w:tabs>
          <w:tab w:leader="none" w:pos="2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not obtained any governmental approval which we, in our reasonable judgment, consider necessary for the completion of the Exchange Offers as contemplated by this prospectus;</w:t>
      </w:r>
    </w:p>
    <w:p>
      <w:pPr>
        <w:spacing w:after="0" w:line="155" w:lineRule="exact"/>
        <w:rPr>
          <w:rFonts w:ascii="Times New Roman" w:cs="Times New Roman" w:eastAsia="Times New Roman" w:hAnsi="Times New Roman"/>
          <w:sz w:val="14"/>
          <w:szCs w:val="14"/>
          <w:color w:val="auto"/>
        </w:rPr>
      </w:pPr>
    </w:p>
    <w:p>
      <w:pPr>
        <w:jc w:val="both"/>
        <w:ind w:left="2220" w:right="579" w:hanging="331"/>
        <w:spacing w:after="0" w:line="253" w:lineRule="auto"/>
        <w:tabs>
          <w:tab w:leader="none" w:pos="2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or any condition, event or development involving a prospective change, shall have occurred or be threatened in the general economic, financial, currency exchange or market conditions in the United States or elsewhere that, in our reasonable judgment, would impair our ability to proceed with the Exchange Offers;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78"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419" w:hanging="331"/>
        <w:spacing w:after="0" w:line="348" w:lineRule="auto"/>
        <w:tabs>
          <w:tab w:leader="none" w:pos="22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change or development, including a prospective change or development, that, in our reasonable judgment, has or may have a material adverse effect on us, the market price of the Exchange Notes or the Restricted Notes or the value of the Exchange Offers to us; or</w:t>
      </w:r>
    </w:p>
    <w:p>
      <w:pPr>
        <w:spacing w:after="0" w:line="109" w:lineRule="exact"/>
        <w:rPr>
          <w:rFonts w:ascii="Times New Roman" w:cs="Times New Roman" w:eastAsia="Times New Roman" w:hAnsi="Times New Roman"/>
          <w:sz w:val="12"/>
          <w:szCs w:val="12"/>
          <w:color w:val="auto"/>
        </w:rPr>
      </w:pPr>
    </w:p>
    <w:p>
      <w:pPr>
        <w:ind w:left="2220" w:right="379" w:hanging="331"/>
        <w:spacing w:after="0" w:line="246" w:lineRule="auto"/>
        <w:tabs>
          <w:tab w:leader="none" w:pos="2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shall have occurred (i) any general suspension of or general limitation on prices for, or trading in, securities on any national securities exchange or in the over-the-counter market; (ii) any limitation by a governmental agency or authority which may adversely affect our ability to complete the transactions contemplated by such Exchange Offer; (iii) a declaration of a banking moratorium or any suspension of payments in respect of banks in the United States or any limitation by any governmental agency or authority which adversely affects the extension of credit; or (iv) a commencement of a war, armed hostilities or other similar international calamity directly or indirectly involving the United States; or, in the case of any of the foregoing existing at the time of the commencement of such Exchange Offer, a material acceleration or worsening thereof.</w:t>
      </w:r>
    </w:p>
    <w:p>
      <w:pPr>
        <w:spacing w:after="0" w:line="14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Extensions; Amendments; Waiver; Termination</w:t>
      </w:r>
    </w:p>
    <w:p>
      <w:pPr>
        <w:spacing w:after="0" w:line="170" w:lineRule="exact"/>
        <w:rPr>
          <w:sz w:val="20"/>
          <w:szCs w:val="20"/>
          <w:color w:val="auto"/>
        </w:rPr>
      </w:pPr>
    </w:p>
    <w:p>
      <w:pPr>
        <w:ind w:left="1480" w:right="359"/>
        <w:spacing w:after="0" w:line="247" w:lineRule="auto"/>
        <w:rPr>
          <w:sz w:val="20"/>
          <w:szCs w:val="20"/>
          <w:color w:val="auto"/>
        </w:rPr>
      </w:pPr>
      <w:r>
        <w:rPr>
          <w:rFonts w:ascii="Times New Roman" w:cs="Times New Roman" w:eastAsia="Times New Roman" w:hAnsi="Times New Roman"/>
          <w:sz w:val="14"/>
          <w:szCs w:val="14"/>
          <w:color w:val="auto"/>
        </w:rPr>
        <w:t>We may extend the Expiration Time for any reason, subject to applicable law. We will extend the Exchange Offers as required by applicable law, subject to our right to terminate one, some or all of the Exchange Offers under applicable law. To extend the Expiration Time, we will notify the Exchange Agent and will make a public announcement thereof before 9:00 a.m., New York City time, on the next business day after the previously scheduled Expiration Time, as applicable. Such announcement will state that we are extending the Expiration Time, as the case may be, for a specified period or on a daily basis. During any such extension, all Restricted Notes previously tendered in an extended Exchange Offer will remain subject to such Exchange Offer and may be accepted for exchange by us.</w:t>
      </w:r>
    </w:p>
    <w:p>
      <w:pPr>
        <w:spacing w:after="0" w:line="149" w:lineRule="exact"/>
        <w:rPr>
          <w:sz w:val="20"/>
          <w:szCs w:val="20"/>
          <w:color w:val="auto"/>
        </w:rPr>
      </w:pPr>
    </w:p>
    <w:p>
      <w:pPr>
        <w:ind w:left="1480" w:right="379"/>
        <w:spacing w:after="0" w:line="316" w:lineRule="auto"/>
        <w:rPr>
          <w:sz w:val="20"/>
          <w:szCs w:val="20"/>
          <w:color w:val="auto"/>
        </w:rPr>
      </w:pPr>
      <w:r>
        <w:rPr>
          <w:rFonts w:ascii="Times New Roman" w:cs="Times New Roman" w:eastAsia="Times New Roman" w:hAnsi="Times New Roman"/>
          <w:sz w:val="12"/>
          <w:szCs w:val="12"/>
          <w:color w:val="auto"/>
        </w:rPr>
        <w:t>The conditions described above under “—Conditions to the Exchange Offers” are for our sole benefit and, subject to applicable law, may be waived by us, in whole or in part in our sole discretion. Any determination made by us concerning these events, developments or circumstances shall be conclusive and binding, subject to the rights of the holders of the Restricted Notes to challenge such determination in a court of competent jurisdiction.</w:t>
      </w:r>
    </w:p>
    <w:p>
      <w:pPr>
        <w:spacing w:after="0" w:line="108" w:lineRule="exact"/>
        <w:rPr>
          <w:sz w:val="20"/>
          <w:szCs w:val="20"/>
          <w:color w:val="auto"/>
        </w:rPr>
      </w:pPr>
    </w:p>
    <w:p>
      <w:pPr>
        <w:ind w:left="1480" w:right="439"/>
        <w:spacing w:after="0" w:line="264" w:lineRule="auto"/>
        <w:rPr>
          <w:sz w:val="20"/>
          <w:szCs w:val="20"/>
          <w:color w:val="auto"/>
        </w:rPr>
      </w:pPr>
      <w:r>
        <w:rPr>
          <w:rFonts w:ascii="Times New Roman" w:cs="Times New Roman" w:eastAsia="Times New Roman" w:hAnsi="Times New Roman"/>
          <w:sz w:val="14"/>
          <w:szCs w:val="14"/>
          <w:color w:val="auto"/>
        </w:rPr>
        <w:t>If any of the conditions described above under “—Conditions to the Exchange Offers” is not satisfied at or prior to the Expiration Time, we may, at any time before the consummation of the Exchange Offers:</w:t>
      </w:r>
    </w:p>
    <w:p>
      <w:pPr>
        <w:spacing w:after="0" w:line="156" w:lineRule="exact"/>
        <w:rPr>
          <w:sz w:val="20"/>
          <w:szCs w:val="20"/>
          <w:color w:val="auto"/>
        </w:rPr>
      </w:pPr>
    </w:p>
    <w:p>
      <w:pPr>
        <w:ind w:left="2220" w:right="419" w:hanging="412"/>
        <w:spacing w:after="0" w:line="264"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any one or more of the Exchange Offers and promptly return all tendered Restricted Notes to the holders thereof (whether or not we terminate the other Exchange Offers) in accordance with applicable law;</w:t>
      </w:r>
    </w:p>
    <w:p>
      <w:pPr>
        <w:spacing w:after="0" w:line="155" w:lineRule="exact"/>
        <w:rPr>
          <w:rFonts w:ascii="Times New Roman" w:cs="Times New Roman" w:eastAsia="Times New Roman" w:hAnsi="Times New Roman"/>
          <w:sz w:val="14"/>
          <w:szCs w:val="14"/>
          <w:color w:val="auto"/>
        </w:rPr>
      </w:pPr>
    </w:p>
    <w:p>
      <w:pPr>
        <w:ind w:left="2220" w:right="539" w:hanging="412"/>
        <w:spacing w:after="0" w:line="264"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extend or otherwise amend any one or more of the Exchange Offers and retain all tendered Restricted Notes until the Expiration Time of the Exchange Offers, subject, however, to the withdrawal rights of holders (see “—Withdrawal of Tenders”); or</w:t>
      </w:r>
    </w:p>
    <w:p>
      <w:pPr>
        <w:spacing w:after="0" w:line="155" w:lineRule="exact"/>
        <w:rPr>
          <w:rFonts w:ascii="Times New Roman" w:cs="Times New Roman" w:eastAsia="Times New Roman" w:hAnsi="Times New Roman"/>
          <w:sz w:val="14"/>
          <w:szCs w:val="14"/>
          <w:color w:val="auto"/>
        </w:rPr>
      </w:pPr>
    </w:p>
    <w:p>
      <w:pPr>
        <w:ind w:left="2220" w:right="579" w:hanging="412"/>
        <w:spacing w:after="0" w:line="253"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the unsatisfied conditions, except for the condition that the registration statement of which this prospectus forms a part has been declared effective by the SEC, with respect to any one or more of the Exchange Offers and accept all Restricted Notes tendered and not previously validly withdrawn with respect to any or all series of Restricted Notes.</w:t>
      </w:r>
    </w:p>
    <w:p>
      <w:pPr>
        <w:spacing w:after="0" w:line="144" w:lineRule="exact"/>
        <w:rPr>
          <w:sz w:val="20"/>
          <w:szCs w:val="20"/>
          <w:color w:val="auto"/>
        </w:rPr>
      </w:pPr>
    </w:p>
    <w:p>
      <w:pPr>
        <w:ind w:left="1480" w:right="499"/>
        <w:spacing w:after="0" w:line="264" w:lineRule="auto"/>
        <w:rPr>
          <w:sz w:val="20"/>
          <w:szCs w:val="20"/>
          <w:color w:val="auto"/>
        </w:rPr>
      </w:pPr>
      <w:r>
        <w:rPr>
          <w:rFonts w:ascii="Times New Roman" w:cs="Times New Roman" w:eastAsia="Times New Roman" w:hAnsi="Times New Roman"/>
          <w:sz w:val="14"/>
          <w:szCs w:val="14"/>
          <w:color w:val="auto"/>
        </w:rPr>
        <w:t>Subject to applicable law, we expressly reserve the right, in our sole discretion, with respect to the Exchange Offers for each series of Restricted Notes to:</w:t>
      </w:r>
    </w:p>
    <w:p>
      <w:pPr>
        <w:spacing w:after="0" w:line="156" w:lineRule="exact"/>
        <w:rPr>
          <w:sz w:val="20"/>
          <w:szCs w:val="20"/>
          <w:color w:val="auto"/>
        </w:rPr>
      </w:pPr>
    </w:p>
    <w:p>
      <w:pPr>
        <w:ind w:left="2220" w:hanging="412"/>
        <w:spacing w:after="0"/>
        <w:tabs>
          <w:tab w:leader="none" w:pos="2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accepting any validly tendered Restricted Notes that were not validly withdrawn,</w:t>
      </w:r>
    </w:p>
    <w:p>
      <w:pPr>
        <w:spacing w:after="0" w:line="185" w:lineRule="exact"/>
        <w:rPr>
          <w:rFonts w:ascii="Times New Roman" w:cs="Times New Roman" w:eastAsia="Times New Roman" w:hAnsi="Times New Roman"/>
          <w:sz w:val="14"/>
          <w:szCs w:val="14"/>
          <w:color w:val="auto"/>
        </w:rPr>
      </w:pPr>
    </w:p>
    <w:p>
      <w:pPr>
        <w:ind w:left="2220" w:hanging="412"/>
        <w:spacing w:after="0"/>
        <w:tabs>
          <w:tab w:leader="none" w:pos="2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 one, some or all of the Exchange Offers, or</w:t>
      </w:r>
    </w:p>
    <w:p>
      <w:pPr>
        <w:spacing w:after="0" w:line="1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78"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779" w:hanging="412"/>
        <w:spacing w:after="0" w:line="264" w:lineRule="auto"/>
        <w:tabs>
          <w:tab w:leader="none" w:pos="2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modify or waive at any time, or from time to time, the terms of the Exchange Offers in any respect, including waiver of any conditions to consummation of the Exchange Offers in whole or in part.</w:t>
      </w:r>
    </w:p>
    <w:p>
      <w:pPr>
        <w:spacing w:after="0" w:line="136" w:lineRule="exact"/>
        <w:rPr>
          <w:sz w:val="20"/>
          <w:szCs w:val="20"/>
          <w:color w:val="auto"/>
        </w:rPr>
      </w:pPr>
    </w:p>
    <w:p>
      <w:pPr>
        <w:ind w:left="1480" w:right="399"/>
        <w:spacing w:after="0" w:line="248" w:lineRule="auto"/>
        <w:rPr>
          <w:sz w:val="20"/>
          <w:szCs w:val="20"/>
          <w:color w:val="auto"/>
        </w:rPr>
      </w:pPr>
      <w:r>
        <w:rPr>
          <w:rFonts w:ascii="Times New Roman" w:cs="Times New Roman" w:eastAsia="Times New Roman" w:hAnsi="Times New Roman"/>
          <w:sz w:val="14"/>
          <w:szCs w:val="14"/>
          <w:color w:val="auto"/>
        </w:rPr>
        <w:t>Subject to the qualifications described above, if we exercise any such right, we will give written notice thereof to the Exchange Agent and will make a public announcement thereof as promptly as practicable. Without limiting the manner in which we may choose to make a public announcement of any delay, extension, amendment or termination of any of the Exchange Offers, or waiver of any condition to any of the Exchange Offers, we will not be obligated to publish, advertise or otherwise communicate any such public announcement, other than by making a timely press release to any appropriate news agency.</w:t>
      </w:r>
    </w:p>
    <w:p>
      <w:pPr>
        <w:spacing w:after="0" w:line="148" w:lineRule="exact"/>
        <w:rPr>
          <w:sz w:val="20"/>
          <w:szCs w:val="20"/>
          <w:color w:val="auto"/>
        </w:rPr>
      </w:pPr>
    </w:p>
    <w:p>
      <w:pPr>
        <w:ind w:left="1480" w:right="559"/>
        <w:spacing w:after="0" w:line="248" w:lineRule="auto"/>
        <w:rPr>
          <w:sz w:val="20"/>
          <w:szCs w:val="20"/>
          <w:color w:val="auto"/>
        </w:rPr>
      </w:pPr>
      <w:r>
        <w:rPr>
          <w:rFonts w:ascii="Times New Roman" w:cs="Times New Roman" w:eastAsia="Times New Roman" w:hAnsi="Times New Roman"/>
          <w:sz w:val="14"/>
          <w:szCs w:val="14"/>
          <w:color w:val="auto"/>
        </w:rPr>
        <w:t>The minimum period during which the Exchange Offers will remain open following material changes in the terms of the Exchange Offers or in the information concerning the Exchange Offers will depend upon the facts and circumstances of such change, including the relative materiality of the changes. In accordance with Rule 14e-1 under the Exchange Act, if we elect to change the consideration offered, the relevant Exchange Offers will remain open for a minimum ten business-day period commencing on the date that the notice of such change is first published or sent to holders of the Restricted Notes.</w:t>
      </w:r>
    </w:p>
    <w:p>
      <w:pPr>
        <w:spacing w:after="0" w:line="148" w:lineRule="exact"/>
        <w:rPr>
          <w:sz w:val="20"/>
          <w:szCs w:val="20"/>
          <w:color w:val="auto"/>
        </w:rPr>
      </w:pPr>
    </w:p>
    <w:p>
      <w:pPr>
        <w:jc w:val="both"/>
        <w:ind w:left="1480" w:right="399"/>
        <w:spacing w:after="0" w:line="250" w:lineRule="auto"/>
        <w:rPr>
          <w:sz w:val="20"/>
          <w:szCs w:val="20"/>
          <w:color w:val="auto"/>
        </w:rPr>
      </w:pPr>
      <w:r>
        <w:rPr>
          <w:rFonts w:ascii="Times New Roman" w:cs="Times New Roman" w:eastAsia="Times New Roman" w:hAnsi="Times New Roman"/>
          <w:sz w:val="14"/>
          <w:szCs w:val="14"/>
          <w:color w:val="auto"/>
        </w:rPr>
        <w:t>If the registration statement of which this prospectus forms a part or the terms of the Exchange Offers are changed or amended in a manner determined by us to constitute a material change, we will promptly disclose any such change or amendment in a manner reasonably calculated to inform holders of the Restricted Notes of such amendment, and will extend the relevant Exchange Offers with, for the avoidance of doubt, withdrawal rights continuing to apply during any such extension.</w:t>
      </w:r>
    </w:p>
    <w:p>
      <w:pPr>
        <w:spacing w:after="0" w:line="145" w:lineRule="exact"/>
        <w:rPr>
          <w:sz w:val="20"/>
          <w:szCs w:val="20"/>
          <w:color w:val="auto"/>
        </w:rPr>
      </w:pPr>
    </w:p>
    <w:p>
      <w:pPr>
        <w:ind w:left="1480" w:right="679"/>
        <w:spacing w:after="0" w:line="253" w:lineRule="auto"/>
        <w:rPr>
          <w:sz w:val="20"/>
          <w:szCs w:val="20"/>
          <w:color w:val="auto"/>
        </w:rPr>
      </w:pPr>
      <w:r>
        <w:rPr>
          <w:rFonts w:ascii="Times New Roman" w:cs="Times New Roman" w:eastAsia="Times New Roman" w:hAnsi="Times New Roman"/>
          <w:sz w:val="14"/>
          <w:szCs w:val="14"/>
          <w:color w:val="auto"/>
        </w:rPr>
        <w:t>Subject to applicable law, each Exchange Offer is being made independently of the other Exchange Offers, and we reserve the right to terminate, withdraw, amend or waive any condition to each Exchange Offer independently of the other Exchange Offers at any time and from time to time, as described in this prospectus.</w:t>
      </w:r>
    </w:p>
    <w:p>
      <w:pPr>
        <w:spacing w:after="0" w:line="1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Procedures for Tendering Restricted Notes</w:t>
      </w:r>
    </w:p>
    <w:p>
      <w:pPr>
        <w:spacing w:after="0" w:line="170" w:lineRule="exact"/>
        <w:rPr>
          <w:sz w:val="20"/>
          <w:szCs w:val="20"/>
          <w:color w:val="auto"/>
        </w:rPr>
      </w:pPr>
    </w:p>
    <w:p>
      <w:pPr>
        <w:ind w:left="1480" w:right="579"/>
        <w:spacing w:after="0" w:line="264" w:lineRule="auto"/>
        <w:rPr>
          <w:sz w:val="20"/>
          <w:szCs w:val="20"/>
          <w:color w:val="auto"/>
        </w:rPr>
      </w:pPr>
      <w:r>
        <w:rPr>
          <w:rFonts w:ascii="Times New Roman" w:cs="Times New Roman" w:eastAsia="Times New Roman" w:hAnsi="Times New Roman"/>
          <w:sz w:val="14"/>
          <w:szCs w:val="14"/>
          <w:color w:val="auto"/>
        </w:rPr>
        <w:t>If you hold Restricted Notes and wish to have those notes exchanged for Exchange Notes, you must validly tender (or cause the valid tender of) your Restricted Notes using the procedures described in this prospectus.</w:t>
      </w:r>
    </w:p>
    <w:p>
      <w:pPr>
        <w:spacing w:after="0" w:line="136" w:lineRule="exact"/>
        <w:rPr>
          <w:sz w:val="20"/>
          <w:szCs w:val="20"/>
          <w:color w:val="auto"/>
        </w:rPr>
      </w:pPr>
    </w:p>
    <w:p>
      <w:pPr>
        <w:ind w:left="1480" w:right="379"/>
        <w:spacing w:after="0" w:line="264" w:lineRule="auto"/>
        <w:rPr>
          <w:sz w:val="20"/>
          <w:szCs w:val="20"/>
          <w:color w:val="auto"/>
        </w:rPr>
      </w:pPr>
      <w:r>
        <w:rPr>
          <w:rFonts w:ascii="Times New Roman" w:cs="Times New Roman" w:eastAsia="Times New Roman" w:hAnsi="Times New Roman"/>
          <w:sz w:val="14"/>
          <w:szCs w:val="14"/>
          <w:color w:val="auto"/>
        </w:rPr>
        <w:t>The procedures by which you may tender or cause to be tendered Restricted Notes will depend upon the manner in which you hold the Restricted Notes, as described below.</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Restricted Notes Held with DTC by a DTC Participant</w:t>
      </w:r>
    </w:p>
    <w:p>
      <w:pPr>
        <w:spacing w:after="0" w:line="170" w:lineRule="exact"/>
        <w:rPr>
          <w:sz w:val="20"/>
          <w:szCs w:val="20"/>
          <w:color w:val="auto"/>
        </w:rPr>
      </w:pPr>
    </w:p>
    <w:p>
      <w:pPr>
        <w:ind w:left="1480" w:right="499"/>
        <w:spacing w:after="0" w:line="250" w:lineRule="auto"/>
        <w:rPr>
          <w:sz w:val="20"/>
          <w:szCs w:val="20"/>
          <w:color w:val="auto"/>
        </w:rPr>
      </w:pPr>
      <w:r>
        <w:rPr>
          <w:rFonts w:ascii="Times New Roman" w:cs="Times New Roman" w:eastAsia="Times New Roman" w:hAnsi="Times New Roman"/>
          <w:sz w:val="14"/>
          <w:szCs w:val="14"/>
          <w:color w:val="auto"/>
        </w:rPr>
        <w:t>Pursuant to authority granted by DTC, if you are a DTC participant that has Restricted Notes credited to your DTC account and thereby held of record by DTC’s nominee, you may directly tender your Restricted Notes as if you were the record holder. Accordingly, references herein to record holders include DTC participants with Restricted Notes credited to their accounts. Within two business days after the date of this prospectus, the Exchange Agent will establish accounts with respect to the Restricted Notes at DTC for purposes of the Exchange Offers.</w:t>
      </w:r>
    </w:p>
    <w:p>
      <w:pPr>
        <w:spacing w:after="0" w:line="145" w:lineRule="exact"/>
        <w:rPr>
          <w:sz w:val="20"/>
          <w:szCs w:val="20"/>
          <w:color w:val="auto"/>
        </w:rPr>
      </w:pPr>
    </w:p>
    <w:p>
      <w:pPr>
        <w:ind w:left="1480" w:right="379"/>
        <w:spacing w:after="0" w:line="250" w:lineRule="auto"/>
        <w:rPr>
          <w:sz w:val="20"/>
          <w:szCs w:val="20"/>
          <w:color w:val="auto"/>
        </w:rPr>
      </w:pPr>
      <w:r>
        <w:rPr>
          <w:rFonts w:ascii="Times New Roman" w:cs="Times New Roman" w:eastAsia="Times New Roman" w:hAnsi="Times New Roman"/>
          <w:sz w:val="14"/>
          <w:szCs w:val="14"/>
          <w:color w:val="auto"/>
        </w:rPr>
        <w:t>Restricted Notes may be tendered and accepted for payment only in principal amounts equal to the minimum authorized denomination for the respective series of Restricted Notes and any integral multiple of $1,000 in excess thereof. No alternative, conditional or contingent tenders will be accepted. Holders who tender less than all of their Restricted Notes must continue to hold Restricted Notes in at least the minimum denomination of $1,000 and integral multiples of $1,000 in excess thereof.</w:t>
      </w:r>
    </w:p>
    <w:p>
      <w:pPr>
        <w:spacing w:after="0" w:line="145" w:lineRule="exact"/>
        <w:rPr>
          <w:sz w:val="20"/>
          <w:szCs w:val="20"/>
          <w:color w:val="auto"/>
        </w:rPr>
      </w:pPr>
    </w:p>
    <w:p>
      <w:pPr>
        <w:ind w:left="1480" w:right="459"/>
        <w:spacing w:after="0" w:line="264" w:lineRule="auto"/>
        <w:rPr>
          <w:sz w:val="20"/>
          <w:szCs w:val="20"/>
          <w:color w:val="auto"/>
        </w:rPr>
      </w:pPr>
      <w:r>
        <w:rPr>
          <w:rFonts w:ascii="Times New Roman" w:cs="Times New Roman" w:eastAsia="Times New Roman" w:hAnsi="Times New Roman"/>
          <w:sz w:val="14"/>
          <w:szCs w:val="14"/>
          <w:color w:val="auto"/>
        </w:rPr>
        <w:t>Any DTC participant may tender Restricted Notes by effecting a book-entry transfer of the Restricted Notes to be tendered in the Exchange Offers into the account of the Exchange Agent at DTC and electronically transmitting</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78"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59"/>
        <w:spacing w:after="0" w:line="264" w:lineRule="auto"/>
        <w:rPr>
          <w:sz w:val="20"/>
          <w:szCs w:val="20"/>
          <w:color w:val="auto"/>
        </w:rPr>
      </w:pPr>
      <w:r>
        <w:rPr>
          <w:rFonts w:ascii="Times New Roman" w:cs="Times New Roman" w:eastAsia="Times New Roman" w:hAnsi="Times New Roman"/>
          <w:sz w:val="14"/>
          <w:szCs w:val="14"/>
          <w:color w:val="auto"/>
        </w:rPr>
        <w:t>its acceptance of the Exchange Offers through DTC’s ATOP procedures for transfer before the Expiration Time of the Exchange Offers. There will be no letter of transmittal for this offer.</w:t>
      </w:r>
    </w:p>
    <w:p>
      <w:pPr>
        <w:spacing w:after="0" w:line="136" w:lineRule="exact"/>
        <w:rPr>
          <w:sz w:val="20"/>
          <w:szCs w:val="20"/>
          <w:color w:val="auto"/>
        </w:rPr>
      </w:pPr>
    </w:p>
    <w:p>
      <w:pPr>
        <w:ind w:left="1480" w:right="379"/>
        <w:spacing w:after="0" w:line="247" w:lineRule="auto"/>
        <w:rPr>
          <w:sz w:val="20"/>
          <w:szCs w:val="20"/>
          <w:color w:val="auto"/>
        </w:rPr>
      </w:pPr>
      <w:r>
        <w:rPr>
          <w:rFonts w:ascii="Times New Roman" w:cs="Times New Roman" w:eastAsia="Times New Roman" w:hAnsi="Times New Roman"/>
          <w:sz w:val="14"/>
          <w:szCs w:val="14"/>
          <w:color w:val="auto"/>
        </w:rPr>
        <w:t>If ATOP procedures are followed, DTC will verify each acceptance transmitted to it, execute a book-entry delivery to the Exchange Agent’s account at DTC and send an agent’s message to the Exchange Agent. An “agent’s message” is a message, transmitted by DTC to and received by the Exchange Agent and forming part of a book-entry confirmation, which states that DTC has received an express acknowledgement from a DTC participant tendering Restricted Notes that the participant has received and agrees to be bound by the terms of the Exchange Offers (as set forth in this prospectus) and that we may enforce the agreement against the participant. DTC participants following this procedure should allow sufficient time for completion of the ATOP procedures prior to the Expiration Time of the Exchange Offers.</w:t>
      </w:r>
    </w:p>
    <w:p>
      <w:pPr>
        <w:spacing w:after="0" w:line="149" w:lineRule="exact"/>
        <w:rPr>
          <w:sz w:val="20"/>
          <w:szCs w:val="20"/>
          <w:color w:val="auto"/>
        </w:rPr>
      </w:pPr>
    </w:p>
    <w:p>
      <w:pPr>
        <w:ind w:left="1480" w:right="499"/>
        <w:spacing w:after="0" w:line="348" w:lineRule="auto"/>
        <w:rPr>
          <w:sz w:val="20"/>
          <w:szCs w:val="20"/>
          <w:color w:val="auto"/>
        </w:rPr>
      </w:pPr>
      <w:r>
        <w:rPr>
          <w:rFonts w:ascii="Times New Roman" w:cs="Times New Roman" w:eastAsia="Times New Roman" w:hAnsi="Times New Roman"/>
          <w:sz w:val="12"/>
          <w:szCs w:val="12"/>
          <w:color w:val="auto"/>
        </w:rPr>
        <w:t>The agent’s message and any other required documents must be transmitted to and received by the Exchange Agent prior to the Expiration Time at the address set forth on the back cover of this prospectus. Delivery of these documents to DTC does not constitute delivery to the Exchange Agent.</w:t>
      </w:r>
    </w:p>
    <w:p>
      <w:pPr>
        <w:spacing w:after="0" w:line="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Restricted Notes Held Through a Nominee by a Beneficial Owner</w:t>
      </w:r>
    </w:p>
    <w:p>
      <w:pPr>
        <w:spacing w:after="0" w:line="170" w:lineRule="exact"/>
        <w:rPr>
          <w:sz w:val="20"/>
          <w:szCs w:val="20"/>
          <w:color w:val="auto"/>
        </w:rPr>
      </w:pPr>
    </w:p>
    <w:p>
      <w:pPr>
        <w:ind w:left="1480" w:right="399"/>
        <w:spacing w:after="0" w:line="296" w:lineRule="auto"/>
        <w:rPr>
          <w:sz w:val="20"/>
          <w:szCs w:val="20"/>
          <w:color w:val="auto"/>
        </w:rPr>
      </w:pPr>
      <w:r>
        <w:rPr>
          <w:rFonts w:ascii="Times New Roman" w:cs="Times New Roman" w:eastAsia="Times New Roman" w:hAnsi="Times New Roman"/>
          <w:sz w:val="12"/>
          <w:szCs w:val="12"/>
          <w:color w:val="auto"/>
        </w:rPr>
        <w:t>Currently, all of the Restricted Notes are held in book-entry form and can only be tendered by following the procedures described under “—Procedures for Tendering Restricted Notes—Restricted Notes Held with DTC by a DTC Participant.” However, any beneficial owner whose Restricted Notes are registered in the name of a broker, dealer, commercial bank, trust company or other nominee and who wishes to tender should contact the registered holder promptly and instruct it to tender on the owner’s behalf if it wishes to participate in the Exchange Offers. You should keep in mind that your intermediary may require you to take action with respect to the Exchange Offers a number of days before the Expiration Time in order for such entity to tender Restricted Notes on your behalf on or prior to the Expiration Time in accordance with the terms of the Exchange Offers.</w:t>
      </w:r>
    </w:p>
    <w:p>
      <w:pPr>
        <w:spacing w:after="0" w:line="122" w:lineRule="exact"/>
        <w:rPr>
          <w:sz w:val="20"/>
          <w:szCs w:val="20"/>
          <w:color w:val="auto"/>
        </w:rPr>
      </w:pPr>
    </w:p>
    <w:p>
      <w:pPr>
        <w:ind w:left="1480" w:right="499"/>
        <w:spacing w:after="0" w:line="250" w:lineRule="auto"/>
        <w:rPr>
          <w:sz w:val="20"/>
          <w:szCs w:val="20"/>
          <w:color w:val="auto"/>
        </w:rPr>
      </w:pPr>
      <w:r>
        <w:rPr>
          <w:rFonts w:ascii="Times New Roman" w:cs="Times New Roman" w:eastAsia="Times New Roman" w:hAnsi="Times New Roman"/>
          <w:sz w:val="14"/>
          <w:szCs w:val="14"/>
          <w:color w:val="auto"/>
        </w:rPr>
        <w:t>Beneficial owners should be aware that their broker, dealer, commercial bank, trust company or other nominee may establish its own earlier deadlines for participation in the Exchange Offers. Accordingly, beneficial owners wishing to participate in the Exchange Offers should contact their broker, dealer, commercial bank, trust company or other nominee as soon as possible in order to determine the times by which such owner must take action in order to participate in the Exchange Offers.</w:t>
      </w:r>
    </w:p>
    <w:p>
      <w:pPr>
        <w:spacing w:after="0" w:line="1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No Guaranteed Delivery</w:t>
      </w:r>
    </w:p>
    <w:p>
      <w:pPr>
        <w:spacing w:after="0" w:line="170" w:lineRule="exact"/>
        <w:rPr>
          <w:sz w:val="20"/>
          <w:szCs w:val="20"/>
          <w:color w:val="auto"/>
        </w:rPr>
      </w:pPr>
    </w:p>
    <w:p>
      <w:pPr>
        <w:ind w:left="1480" w:right="399"/>
        <w:spacing w:after="0" w:line="264" w:lineRule="auto"/>
        <w:rPr>
          <w:sz w:val="20"/>
          <w:szCs w:val="20"/>
          <w:color w:val="auto"/>
        </w:rPr>
      </w:pPr>
      <w:r>
        <w:rPr>
          <w:rFonts w:ascii="Times New Roman" w:cs="Times New Roman" w:eastAsia="Times New Roman" w:hAnsi="Times New Roman"/>
          <w:sz w:val="14"/>
          <w:szCs w:val="14"/>
          <w:color w:val="auto"/>
        </w:rPr>
        <w:t>There are no guaranteed delivery provisions provided for in conjunction with the Exchange Offers under the terms of this prospectus. Tendering holders must tender their Restricted Notes in accordance with the procedures set forth above.</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Withdrawal of Tenders</w:t>
      </w:r>
    </w:p>
    <w:p>
      <w:pPr>
        <w:spacing w:after="0" w:line="170" w:lineRule="exact"/>
        <w:rPr>
          <w:sz w:val="20"/>
          <w:szCs w:val="20"/>
          <w:color w:val="auto"/>
        </w:rPr>
      </w:pPr>
    </w:p>
    <w:p>
      <w:pPr>
        <w:ind w:left="1480" w:right="839"/>
        <w:spacing w:after="0" w:line="264" w:lineRule="auto"/>
        <w:rPr>
          <w:sz w:val="20"/>
          <w:szCs w:val="20"/>
          <w:color w:val="auto"/>
        </w:rPr>
      </w:pPr>
      <w:r>
        <w:rPr>
          <w:rFonts w:ascii="Times New Roman" w:cs="Times New Roman" w:eastAsia="Times New Roman" w:hAnsi="Times New Roman"/>
          <w:sz w:val="14"/>
          <w:szCs w:val="14"/>
          <w:color w:val="auto"/>
        </w:rPr>
        <w:t>Tenders of Restricted Notes in connection with any Exchange Offer may be withdrawn at any time prior to the Expiration Time of the particular Exchange Offer. Tenders of Restricted Notes may not be withdrawn at any time thereafter.</w:t>
      </w:r>
    </w:p>
    <w:p>
      <w:pPr>
        <w:spacing w:after="0" w:line="136" w:lineRule="exact"/>
        <w:rPr>
          <w:sz w:val="20"/>
          <w:szCs w:val="20"/>
          <w:color w:val="auto"/>
        </w:rPr>
      </w:pPr>
    </w:p>
    <w:p>
      <w:pPr>
        <w:ind w:left="1480" w:right="399"/>
        <w:spacing w:after="0" w:line="247" w:lineRule="auto"/>
        <w:rPr>
          <w:sz w:val="20"/>
          <w:szCs w:val="20"/>
          <w:color w:val="auto"/>
        </w:rPr>
      </w:pPr>
      <w:r>
        <w:rPr>
          <w:rFonts w:ascii="Times New Roman" w:cs="Times New Roman" w:eastAsia="Times New Roman" w:hAnsi="Times New Roman"/>
          <w:sz w:val="14"/>
          <w:szCs w:val="14"/>
          <w:color w:val="auto"/>
        </w:rPr>
        <w:t>Beneficial owners desiring to withdraw Restricted Notes previously tendered through the ATOP procedures should contact the DTC participant through which they hold their Restricted Notes. In order to withdraw Restricted Notes previously tendered, a DTC participant may, prior to the Expiration Time, withdraw its instruction previously transmitted through ATOP by (1) withdrawing its acceptance through ATOP, or (2) delivering notice of withdrawal of such instruction to the Exchange Agent by mail, hand delivery or facsimile transmission. The notice of withdrawal must contain the name and number of the DTC participant, the series of Restricted Notes subject to the notice and the principal amount of each series of Restricted Notes subject to the</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78"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59"/>
        <w:spacing w:after="0" w:line="247" w:lineRule="auto"/>
        <w:rPr>
          <w:sz w:val="20"/>
          <w:szCs w:val="20"/>
          <w:color w:val="auto"/>
        </w:rPr>
      </w:pPr>
      <w:r>
        <w:rPr>
          <w:rFonts w:ascii="Times New Roman" w:cs="Times New Roman" w:eastAsia="Times New Roman" w:hAnsi="Times New Roman"/>
          <w:sz w:val="14"/>
          <w:szCs w:val="14"/>
          <w:color w:val="auto"/>
        </w:rPr>
        <w:t>notice. Withdrawal of a prior instruction will be effective upon receipt of such notice of withdrawal by the Exchange Agent. All signatures on a notice of withdrawal must be guaranteed by a recognized participant in the Securities Transfer Agents Medallion Program, the NYSE Medallion Signature Program or the Stock Exchange Medallion Program, except that signatures on the notice of withdrawal need not be guaranteed if the Restricted Notes being withdrawn are held for the account of an eligible institution. A withdrawal of an instruction must be executed by a DTC participant in the same manner as such DTC participant’s name appears on its transmission through ATOP to which the withdrawal relates. A DTC participant may withdraw a tender only if the withdrawal complies with the provisions described in this section.</w:t>
      </w:r>
    </w:p>
    <w:p>
      <w:pPr>
        <w:spacing w:after="0" w:line="149" w:lineRule="exact"/>
        <w:rPr>
          <w:sz w:val="20"/>
          <w:szCs w:val="20"/>
          <w:color w:val="auto"/>
        </w:rPr>
      </w:pPr>
    </w:p>
    <w:p>
      <w:pPr>
        <w:ind w:left="1480" w:right="399"/>
        <w:spacing w:after="0" w:line="250" w:lineRule="auto"/>
        <w:rPr>
          <w:sz w:val="20"/>
          <w:szCs w:val="20"/>
          <w:color w:val="auto"/>
        </w:rPr>
      </w:pPr>
      <w:r>
        <w:rPr>
          <w:rFonts w:ascii="Times New Roman" w:cs="Times New Roman" w:eastAsia="Times New Roman" w:hAnsi="Times New Roman"/>
          <w:sz w:val="14"/>
          <w:szCs w:val="14"/>
          <w:color w:val="auto"/>
        </w:rPr>
        <w:t>For a withdrawal to be effective for Euroclear or Clearstream participants, holders must comply with their respective standard operating procedures for electronic tenders and the Exchange Agent must receive an electronic notice of withdrawal from Euroclear or Clearstream. Any notice of withdrawal must specify the name and number of the account at Euroclear or Clearstream and otherwise comply with the procedures of Euroclear or Clearstream as applicable.</w:t>
      </w:r>
    </w:p>
    <w:p>
      <w:pPr>
        <w:spacing w:after="0" w:line="145" w:lineRule="exact"/>
        <w:rPr>
          <w:sz w:val="20"/>
          <w:szCs w:val="20"/>
          <w:color w:val="auto"/>
        </w:rPr>
      </w:pPr>
    </w:p>
    <w:p>
      <w:pPr>
        <w:ind w:left="1480" w:right="399"/>
        <w:spacing w:after="0" w:line="253" w:lineRule="auto"/>
        <w:rPr>
          <w:sz w:val="20"/>
          <w:szCs w:val="20"/>
          <w:color w:val="auto"/>
        </w:rPr>
      </w:pPr>
      <w:r>
        <w:rPr>
          <w:rFonts w:ascii="Times New Roman" w:cs="Times New Roman" w:eastAsia="Times New Roman" w:hAnsi="Times New Roman"/>
          <w:sz w:val="14"/>
          <w:szCs w:val="14"/>
          <w:color w:val="auto"/>
        </w:rPr>
        <w:t>Withdrawals of tenders of Restricted Notes may not be rescinded and any Restricted Notes withdrawn will thereafter be deemed not validly tendered for purposes of the Exchange Offers. Properly withdrawn Restricted Notes, however, may be re-tendered by following the procedures described above at any time prior to the Expiration Time.</w:t>
      </w:r>
    </w:p>
    <w:p>
      <w:pPr>
        <w:spacing w:after="0" w:line="1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70" w:lineRule="exact"/>
        <w:rPr>
          <w:sz w:val="20"/>
          <w:szCs w:val="20"/>
          <w:color w:val="auto"/>
        </w:rPr>
      </w:pPr>
    </w:p>
    <w:p>
      <w:pPr>
        <w:ind w:left="1480" w:right="379"/>
        <w:spacing w:after="0" w:line="246" w:lineRule="auto"/>
        <w:rPr>
          <w:sz w:val="20"/>
          <w:szCs w:val="20"/>
          <w:color w:val="auto"/>
        </w:rPr>
      </w:pPr>
      <w:r>
        <w:rPr>
          <w:rFonts w:ascii="Times New Roman" w:cs="Times New Roman" w:eastAsia="Times New Roman" w:hAnsi="Times New Roman"/>
          <w:sz w:val="14"/>
          <w:szCs w:val="14"/>
          <w:color w:val="auto"/>
        </w:rPr>
        <w:t>All questions as to the validity, form, eligibility (including time of receipt) and acceptance for exchange of any tender of Restricted Notes in the Exchange Offers will be determined by us, in our sole discretion, and our determination will be final and binding, subject to any challenge thereof by a holder in a court of competent jurisdiction. We reserve the absolute right to reject any or all tenders not in proper form or the acceptance for exchange of which may, in the opinion of our counsel, be unlawful. We also reserve the absolute right to waive any defect or irregularity in the tender of any Restricted Notes in the Exchange Offers, and our interpretation of the terms and conditions of the Exchange Offer will be final and binding on all parties, subject to any challenge thereof by a holder in a court of competent jurisdiction. None of the Shell Group (including the Issuer), the Exchange Agent, the Information Agent, or the Trustee, or any other person, will be under any duty to give notification of any defects or irregularities in tenders or incur any liability for failure to give any such notification.</w:t>
      </w:r>
    </w:p>
    <w:p>
      <w:pPr>
        <w:spacing w:after="0" w:line="149" w:lineRule="exact"/>
        <w:rPr>
          <w:sz w:val="20"/>
          <w:szCs w:val="20"/>
          <w:color w:val="auto"/>
        </w:rPr>
      </w:pPr>
    </w:p>
    <w:p>
      <w:pPr>
        <w:ind w:left="1480" w:right="439"/>
        <w:spacing w:after="0" w:line="248" w:lineRule="auto"/>
        <w:rPr>
          <w:sz w:val="20"/>
          <w:szCs w:val="20"/>
          <w:color w:val="auto"/>
        </w:rPr>
      </w:pPr>
      <w:r>
        <w:rPr>
          <w:rFonts w:ascii="Times New Roman" w:cs="Times New Roman" w:eastAsia="Times New Roman" w:hAnsi="Times New Roman"/>
          <w:sz w:val="14"/>
          <w:szCs w:val="14"/>
          <w:color w:val="auto"/>
        </w:rPr>
        <w:t>Tenders of Restricted Notes involving any irregularities will not be deemed to have been made until such irregularities have been cured or waived. Restricted Notes received by the Exchange Agent in connection with any Exchange Offer that are not validly tendered and as to which the irregularities have not been cured or waived will be returned by the Exchange Agent to the participant who delivered such Restricted Notes by crediting an account maintained at either DTC, Euroclear or Clearstream, as applicable, designated by such participant, in either case promptly after the Expiration Time of the applicable Exchange Offer or the withdrawal or termination of the applicable Exchange Offer.</w:t>
      </w:r>
    </w:p>
    <w:p>
      <w:pPr>
        <w:spacing w:after="0" w:line="148" w:lineRule="exact"/>
        <w:rPr>
          <w:sz w:val="20"/>
          <w:szCs w:val="20"/>
          <w:color w:val="auto"/>
        </w:rPr>
      </w:pPr>
    </w:p>
    <w:p>
      <w:pPr>
        <w:ind w:left="1480" w:right="379"/>
        <w:spacing w:after="0" w:line="264" w:lineRule="auto"/>
        <w:rPr>
          <w:sz w:val="20"/>
          <w:szCs w:val="20"/>
          <w:color w:val="auto"/>
        </w:rPr>
      </w:pPr>
      <w:r>
        <w:rPr>
          <w:rFonts w:ascii="Times New Roman" w:cs="Times New Roman" w:eastAsia="Times New Roman" w:hAnsi="Times New Roman"/>
          <w:sz w:val="14"/>
          <w:szCs w:val="14"/>
          <w:color w:val="auto"/>
        </w:rPr>
        <w:t>We may also in the future seek to acquire untendered Restricted Notes in open market or privately negotiated transactions, through subsequent exchange offers or otherwise. The terms of any of those purchases or offers could differ from the terms of these Exchange Offers.</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Transfer Taxes</w:t>
      </w:r>
    </w:p>
    <w:p>
      <w:pPr>
        <w:spacing w:after="0" w:line="170" w:lineRule="exact"/>
        <w:rPr>
          <w:sz w:val="20"/>
          <w:szCs w:val="20"/>
          <w:color w:val="auto"/>
        </w:rPr>
      </w:pPr>
    </w:p>
    <w:p>
      <w:pPr>
        <w:ind w:left="1480" w:right="399"/>
        <w:spacing w:after="0" w:line="253" w:lineRule="auto"/>
        <w:rPr>
          <w:sz w:val="20"/>
          <w:szCs w:val="20"/>
          <w:color w:val="auto"/>
        </w:rPr>
      </w:pPr>
      <w:r>
        <w:rPr>
          <w:rFonts w:ascii="Times New Roman" w:cs="Times New Roman" w:eastAsia="Times New Roman" w:hAnsi="Times New Roman"/>
          <w:sz w:val="14"/>
          <w:szCs w:val="14"/>
          <w:color w:val="auto"/>
        </w:rPr>
        <w:t>You will not be obligated to pay any transfer taxes in connection with the tender of Restricted Notes to us in the Exchange Offers. If transfer taxes are imposed for any other reason, the amount of those transfer taxes, whether imposed on the registered holders or any other persons, will be payable by the tendering holder.</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78"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jc w:val="both"/>
        <w:ind w:left="1480" w:right="379"/>
        <w:spacing w:after="0" w:line="348" w:lineRule="auto"/>
        <w:rPr>
          <w:sz w:val="20"/>
          <w:szCs w:val="20"/>
          <w:color w:val="auto"/>
        </w:rPr>
      </w:pPr>
      <w:r>
        <w:rPr>
          <w:rFonts w:ascii="Times New Roman" w:cs="Times New Roman" w:eastAsia="Times New Roman" w:hAnsi="Times New Roman"/>
          <w:sz w:val="12"/>
          <w:szCs w:val="12"/>
          <w:color w:val="auto"/>
        </w:rPr>
        <w:t>If the tendering holder does not provide us with satisfactory evidence of payment of or exemption from those transfer taxes, the amount of those transfer taxes will be billed directly to the tendering holder and/or withheld from any payments due with respect to the Restricted Notes tendered by such holder.</w:t>
      </w:r>
    </w:p>
    <w:p>
      <w:pPr>
        <w:spacing w:after="0" w:line="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Accounting Treatment</w:t>
      </w:r>
    </w:p>
    <w:p>
      <w:pPr>
        <w:spacing w:after="0" w:line="170" w:lineRule="exact"/>
        <w:rPr>
          <w:sz w:val="20"/>
          <w:szCs w:val="20"/>
          <w:color w:val="auto"/>
        </w:rPr>
      </w:pPr>
    </w:p>
    <w:p>
      <w:pPr>
        <w:ind w:left="1480" w:right="359"/>
        <w:spacing w:after="0" w:line="253" w:lineRule="auto"/>
        <w:rPr>
          <w:sz w:val="20"/>
          <w:szCs w:val="20"/>
          <w:color w:val="auto"/>
        </w:rPr>
      </w:pPr>
      <w:r>
        <w:rPr>
          <w:rFonts w:ascii="Times New Roman" w:cs="Times New Roman" w:eastAsia="Times New Roman" w:hAnsi="Times New Roman"/>
          <w:sz w:val="14"/>
          <w:szCs w:val="14"/>
          <w:color w:val="auto"/>
        </w:rPr>
        <w:t>We will record the Exchange Notes at the same carrying values as the Restricted Notes, as reflected in our accounting records on the date of exchange. Accordingly, we will not recognize any gain or loss on the exchange of notes. We will amortize the expenses of the Exchange Offers over the term of the Exchange Notes.</w:t>
      </w:r>
    </w:p>
    <w:p>
      <w:pPr>
        <w:spacing w:after="0" w:line="1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Exchange Agent</w:t>
      </w:r>
    </w:p>
    <w:p>
      <w:pPr>
        <w:spacing w:after="0" w:line="170" w:lineRule="exact"/>
        <w:rPr>
          <w:sz w:val="20"/>
          <w:szCs w:val="20"/>
          <w:color w:val="auto"/>
        </w:rPr>
      </w:pPr>
    </w:p>
    <w:p>
      <w:pPr>
        <w:ind w:left="1480" w:right="459"/>
        <w:spacing w:after="0" w:line="305" w:lineRule="auto"/>
        <w:rPr>
          <w:sz w:val="20"/>
          <w:szCs w:val="20"/>
          <w:color w:val="auto"/>
        </w:rPr>
      </w:pPr>
      <w:r>
        <w:rPr>
          <w:rFonts w:ascii="Times New Roman" w:cs="Times New Roman" w:eastAsia="Times New Roman" w:hAnsi="Times New Roman"/>
          <w:sz w:val="12"/>
          <w:szCs w:val="12"/>
          <w:color w:val="auto"/>
        </w:rPr>
        <w:t>D.F. King &amp; Co., Inc. has been appointed as the Exchange Agent for the Exchange Offers. All correspondence in connection with the Exchange Offers should be sent or delivered by each holder of Restricted Notes, or a beneficial owner’s custodian bank, depositary, broker, trust company or other nominee, to the Exchange Agent at the address and telephone number set forth on the back cover of this prospectus. We will pay the Exchange Agent’s reasonable and customary fees for their services and will reimburse them for their reasonable, out-of-pocket expenses in connection therewith.</w:t>
      </w:r>
    </w:p>
    <w:p>
      <w:pPr>
        <w:spacing w:after="0" w:line="11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Information Agent</w:t>
      </w:r>
    </w:p>
    <w:p>
      <w:pPr>
        <w:spacing w:after="0" w:line="170" w:lineRule="exact"/>
        <w:rPr>
          <w:sz w:val="20"/>
          <w:szCs w:val="20"/>
          <w:color w:val="auto"/>
        </w:rPr>
      </w:pPr>
    </w:p>
    <w:p>
      <w:pPr>
        <w:ind w:left="1480" w:right="379"/>
        <w:spacing w:after="0" w:line="250" w:lineRule="auto"/>
        <w:rPr>
          <w:sz w:val="20"/>
          <w:szCs w:val="20"/>
          <w:color w:val="auto"/>
        </w:rPr>
      </w:pPr>
      <w:r>
        <w:rPr>
          <w:rFonts w:ascii="Times New Roman" w:cs="Times New Roman" w:eastAsia="Times New Roman" w:hAnsi="Times New Roman"/>
          <w:sz w:val="14"/>
          <w:szCs w:val="14"/>
          <w:color w:val="auto"/>
        </w:rPr>
        <w:t>D.F. King &amp; Co., Inc. has also been appointed as the Information Agent for the Exchange Offers, and will receive customary compensation for its services. Questions concerning tender procedures and requests for additional copies of this prospectus should be directed to the Information Agent at the address and telephone number set forth on the back cover of this prospectus. Holders may also contact their commercial bank, broker, dealer, trust company or other nominee for assistance concerning the Exchange Offers.</w:t>
      </w:r>
    </w:p>
    <w:p>
      <w:pPr>
        <w:spacing w:after="0" w:line="1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Other Fees and Expenses</w:t>
      </w:r>
    </w:p>
    <w:p>
      <w:pPr>
        <w:spacing w:after="0" w:line="170" w:lineRule="exact"/>
        <w:rPr>
          <w:sz w:val="20"/>
          <w:szCs w:val="20"/>
          <w:color w:val="auto"/>
        </w:rPr>
      </w:pPr>
    </w:p>
    <w:p>
      <w:pPr>
        <w:ind w:left="1480" w:right="419"/>
        <w:spacing w:after="0" w:line="253" w:lineRule="auto"/>
        <w:rPr>
          <w:sz w:val="20"/>
          <w:szCs w:val="20"/>
          <w:color w:val="auto"/>
        </w:rPr>
      </w:pPr>
      <w:r>
        <w:rPr>
          <w:rFonts w:ascii="Times New Roman" w:cs="Times New Roman" w:eastAsia="Times New Roman" w:hAnsi="Times New Roman"/>
          <w:sz w:val="14"/>
          <w:szCs w:val="14"/>
          <w:color w:val="auto"/>
        </w:rPr>
        <w:t>The expenses of soliciting tenders with respect to the Restricted Notes will be borne by us. The principal solicitations are being made by mail; however, additional solicitations may be made by facsimile transmission, telephone or in person by officers and other employees of the Shell Group and its affiliates.</w:t>
      </w:r>
    </w:p>
    <w:p>
      <w:pPr>
        <w:spacing w:after="0" w:line="144" w:lineRule="exact"/>
        <w:rPr>
          <w:sz w:val="20"/>
          <w:szCs w:val="20"/>
          <w:color w:val="auto"/>
        </w:rPr>
      </w:pPr>
    </w:p>
    <w:p>
      <w:pPr>
        <w:ind w:left="1480" w:right="419"/>
        <w:spacing w:after="0" w:line="264" w:lineRule="auto"/>
        <w:rPr>
          <w:sz w:val="20"/>
          <w:szCs w:val="20"/>
          <w:color w:val="auto"/>
        </w:rPr>
      </w:pPr>
      <w:r>
        <w:rPr>
          <w:rFonts w:ascii="Times New Roman" w:cs="Times New Roman" w:eastAsia="Times New Roman" w:hAnsi="Times New Roman"/>
          <w:sz w:val="14"/>
          <w:szCs w:val="14"/>
          <w:color w:val="auto"/>
        </w:rPr>
        <w:t>If a tendering holder handles the transaction through its broker, dealer, commercial bank, trust company or other institution, that holder may be required to pay brokerage fees or commissions.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78"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THE EXCHANGE NOTES AND GUARANTEES</w:t>
      </w:r>
    </w:p>
    <w:p>
      <w:pPr>
        <w:spacing w:after="0" w:line="168" w:lineRule="exact"/>
        <w:rPr>
          <w:sz w:val="20"/>
          <w:szCs w:val="20"/>
          <w:color w:val="auto"/>
        </w:rPr>
      </w:pPr>
    </w:p>
    <w:p>
      <w:pPr>
        <w:ind w:left="1480" w:right="399"/>
        <w:spacing w:after="0" w:line="297" w:lineRule="auto"/>
        <w:rPr>
          <w:sz w:val="20"/>
          <w:szCs w:val="20"/>
          <w:color w:val="auto"/>
        </w:rPr>
      </w:pPr>
      <w:r>
        <w:rPr>
          <w:rFonts w:ascii="Times New Roman" w:cs="Times New Roman" w:eastAsia="Times New Roman" w:hAnsi="Times New Roman"/>
          <w:sz w:val="12"/>
          <w:szCs w:val="12"/>
          <w:i w:val="1"/>
          <w:iCs w:val="1"/>
          <w:color w:val="auto"/>
        </w:rPr>
        <w:t>For purposes of this section “Description of the Exchange Notes and Guarantees,” unless we state otherwise or the context clearly indicates otherwise, all references to “</w:t>
      </w:r>
      <w:r>
        <w:rPr>
          <w:rFonts w:ascii="Times New Roman" w:cs="Times New Roman" w:eastAsia="Times New Roman" w:hAnsi="Times New Roman"/>
          <w:sz w:val="12"/>
          <w:szCs w:val="12"/>
          <w:b w:val="1"/>
          <w:bCs w:val="1"/>
          <w:i w:val="1"/>
          <w:iCs w:val="1"/>
          <w:color w:val="auto"/>
        </w:rPr>
        <w:t>Shell</w:t>
      </w:r>
      <w:r>
        <w:rPr>
          <w:rFonts w:ascii="Times New Roman" w:cs="Times New Roman" w:eastAsia="Times New Roman" w:hAnsi="Times New Roman"/>
          <w:sz w:val="12"/>
          <w:szCs w:val="12"/>
          <w:i w:val="1"/>
          <w:iCs w:val="1"/>
          <w:color w:val="auto"/>
        </w:rPr>
        <w:t>” mean Shell plc only and all references to “</w:t>
      </w:r>
      <w:r>
        <w:rPr>
          <w:rFonts w:ascii="Times New Roman" w:cs="Times New Roman" w:eastAsia="Times New Roman" w:hAnsi="Times New Roman"/>
          <w:sz w:val="12"/>
          <w:szCs w:val="12"/>
          <w:b w:val="1"/>
          <w:bCs w:val="1"/>
          <w:i w:val="1"/>
          <w:iCs w:val="1"/>
          <w:color w:val="auto"/>
        </w:rPr>
        <w:t>Shell Finance US</w:t>
      </w:r>
      <w:r>
        <w:rPr>
          <w:rFonts w:ascii="Times New Roman" w:cs="Times New Roman" w:eastAsia="Times New Roman" w:hAnsi="Times New Roman"/>
          <w:sz w:val="12"/>
          <w:szCs w:val="12"/>
          <w:i w:val="1"/>
          <w:iCs w:val="1"/>
          <w:color w:val="auto"/>
        </w:rPr>
        <w:t>” mean Shell Finance US Inc. only. The terms of the Exchange Notes will include those stated in the Shell Finance US Indenture and those made part of the Shell Finance US Indenture by reference to the U.S. Trust Indenture Act. The following is a summary of the material provisions of the Shell Finance US Indenture and the Exchange Notes. Because this is a summary, it may not contain all the information that is important to you. You should read the Shell Finance US Indenture in its entirety. See “Where You Can Find More Information.” All capitalized terms used but not defined herein are as defined in the Shell Finance US Indenture.</w:t>
      </w:r>
    </w:p>
    <w:p>
      <w:pPr>
        <w:spacing w:after="0" w:line="118" w:lineRule="exact"/>
        <w:rPr>
          <w:sz w:val="20"/>
          <w:szCs w:val="20"/>
          <w:color w:val="auto"/>
        </w:rPr>
      </w:pPr>
    </w:p>
    <w:p>
      <w:pPr>
        <w:ind w:left="1480" w:right="399"/>
        <w:spacing w:after="0" w:line="292" w:lineRule="auto"/>
        <w:rPr>
          <w:sz w:val="20"/>
          <w:szCs w:val="20"/>
          <w:color w:val="auto"/>
        </w:rPr>
      </w:pPr>
      <w:r>
        <w:rPr>
          <w:rFonts w:ascii="Times New Roman" w:cs="Times New Roman" w:eastAsia="Times New Roman" w:hAnsi="Times New Roman"/>
          <w:sz w:val="12"/>
          <w:szCs w:val="12"/>
          <w:i w:val="1"/>
          <w:iCs w:val="1"/>
          <w:color w:val="auto"/>
        </w:rPr>
        <w:t>Each series of Exchange Notes will be part of the same series of the applicable series of Restricted Notes. Any Restricted Notes not tendered in the Exchange Offers will remain outstanding after the consummation of the Exchange Offers. The terms of each series of Exchange Notes will be substantially identical to the terms of the applicable series of Restricted Notes, except (i) the Exchange Notes will be registered under the Securities Act,</w:t>
      </w:r>
    </w:p>
    <w:p>
      <w:pPr>
        <w:ind w:left="1480" w:right="399" w:firstLine="1"/>
        <w:spacing w:after="0" w:line="246" w:lineRule="auto"/>
        <w:tabs>
          <w:tab w:leader="none" w:pos="168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transfer restrictions and registration rights applicable to the Restricted Notes will not apply to the Exchange Notes, and (iii) the Exchange Notes will not contain provisions relating to additional interest relating to our registration obligations.</w:t>
      </w:r>
    </w:p>
    <w:p>
      <w:pPr>
        <w:spacing w:after="0" w:line="1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66" w:lineRule="exact"/>
        <w:rPr>
          <w:sz w:val="20"/>
          <w:szCs w:val="20"/>
          <w:color w:val="auto"/>
        </w:rPr>
      </w:pPr>
    </w:p>
    <w:p>
      <w:pPr>
        <w:ind w:left="1480" w:right="499"/>
        <w:spacing w:after="0" w:line="301" w:lineRule="auto"/>
        <w:rPr>
          <w:sz w:val="20"/>
          <w:szCs w:val="20"/>
          <w:color w:val="auto"/>
        </w:rPr>
      </w:pPr>
      <w:r>
        <w:rPr>
          <w:rFonts w:ascii="Times New Roman" w:cs="Times New Roman" w:eastAsia="Times New Roman" w:hAnsi="Times New Roman"/>
          <w:sz w:val="12"/>
          <w:szCs w:val="12"/>
          <w:color w:val="auto"/>
        </w:rPr>
        <w:t>The Exchange Notes will be issued by Shell Finance US Inc. (the “</w:t>
      </w:r>
      <w:r>
        <w:rPr>
          <w:rFonts w:ascii="Times New Roman" w:cs="Times New Roman" w:eastAsia="Times New Roman" w:hAnsi="Times New Roman"/>
          <w:sz w:val="12"/>
          <w:szCs w:val="12"/>
          <w:b w:val="1"/>
          <w:bCs w:val="1"/>
          <w:color w:val="auto"/>
        </w:rPr>
        <w:t>Issuer</w:t>
      </w:r>
      <w:r>
        <w:rPr>
          <w:rFonts w:ascii="Times New Roman" w:cs="Times New Roman" w:eastAsia="Times New Roman" w:hAnsi="Times New Roman"/>
          <w:sz w:val="12"/>
          <w:szCs w:val="12"/>
          <w:color w:val="auto"/>
        </w:rPr>
        <w:t>”) and will be fully and unconditionally guaranteed by Shell plc (the “</w:t>
      </w:r>
      <w:r>
        <w:rPr>
          <w:rFonts w:ascii="Times New Roman" w:cs="Times New Roman" w:eastAsia="Times New Roman" w:hAnsi="Times New Roman"/>
          <w:sz w:val="12"/>
          <w:szCs w:val="12"/>
          <w:b w:val="1"/>
          <w:bCs w:val="1"/>
          <w:color w:val="auto"/>
        </w:rPr>
        <w:t>Guarantor</w:t>
      </w:r>
      <w:r>
        <w:rPr>
          <w:rFonts w:ascii="Times New Roman" w:cs="Times New Roman" w:eastAsia="Times New Roman" w:hAnsi="Times New Roman"/>
          <w:sz w:val="12"/>
          <w:szCs w:val="12"/>
          <w:color w:val="auto"/>
        </w:rPr>
        <w:t>”). Each series of Exchange Notes offered in exchange for Restricted Notes will have the same interest rate, maturity date, optional redemption provisions and interest payment dates as the corresponding series of Restricted Notes and other terms that are substantially identical to the corresponding series of Restricted Notes. Application will be made to list each series of Exchange Notes on the New York Stock Exchange. There can be no assurance that any series of Exchange Notes will be listed or as to the development or liquidity of any market for the Exchange Notes.</w:t>
      </w:r>
    </w:p>
    <w:p>
      <w:pPr>
        <w:spacing w:after="0" w:line="114" w:lineRule="exact"/>
        <w:rPr>
          <w:sz w:val="20"/>
          <w:szCs w:val="20"/>
          <w:color w:val="auto"/>
        </w:rPr>
      </w:pPr>
    </w:p>
    <w:p>
      <w:pPr>
        <w:ind w:left="1480" w:right="979"/>
        <w:spacing w:after="0" w:line="270" w:lineRule="auto"/>
        <w:rPr>
          <w:sz w:val="20"/>
          <w:szCs w:val="20"/>
          <w:color w:val="auto"/>
        </w:rPr>
      </w:pPr>
      <w:r>
        <w:rPr>
          <w:rFonts w:ascii="Times New Roman" w:cs="Times New Roman" w:eastAsia="Times New Roman" w:hAnsi="Times New Roman"/>
          <w:sz w:val="14"/>
          <w:szCs w:val="14"/>
          <w:color w:val="auto"/>
        </w:rPr>
        <w:t>Each series of the Exchange Notes will be issued under an indenture among the Issuer, the Guarantor and the Trustee (the “</w:t>
      </w:r>
      <w:r>
        <w:rPr>
          <w:rFonts w:ascii="Times New Roman" w:cs="Times New Roman" w:eastAsia="Times New Roman" w:hAnsi="Times New Roman"/>
          <w:sz w:val="14"/>
          <w:szCs w:val="14"/>
          <w:b w:val="1"/>
          <w:bCs w:val="1"/>
          <w:color w:val="auto"/>
        </w:rPr>
        <w:t>Shell Finance US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The Shell Finance US Indenture is by its terms subject to and governed by the Trust Indenture Act.</w:t>
      </w:r>
    </w:p>
    <w:p>
      <w:pPr>
        <w:spacing w:after="0" w:line="132" w:lineRule="exact"/>
        <w:rPr>
          <w:sz w:val="20"/>
          <w:szCs w:val="20"/>
          <w:color w:val="auto"/>
        </w:rPr>
      </w:pPr>
    </w:p>
    <w:p>
      <w:pPr>
        <w:ind w:left="1480" w:right="359"/>
        <w:spacing w:after="0" w:line="248" w:lineRule="auto"/>
        <w:rPr>
          <w:sz w:val="20"/>
          <w:szCs w:val="20"/>
          <w:color w:val="auto"/>
        </w:rPr>
      </w:pPr>
      <w:r>
        <w:rPr>
          <w:rFonts w:ascii="Times New Roman" w:cs="Times New Roman" w:eastAsia="Times New Roman" w:hAnsi="Times New Roman"/>
          <w:sz w:val="14"/>
          <w:szCs w:val="14"/>
          <w:color w:val="auto"/>
        </w:rPr>
        <w:t>The Exchange Notes will be senior unsecured obligations of the Issuer and will rank equally with all other existing and future unsecured and unsubordinated debt obligations of the Issuer. The Exchange Notes will be repaid at maturity in U.S. dollars at a price equal to 100% of the principal amount thereof. The Exchange Notes will be issued in denominations of $1,000 and integral multiples of $1,000 in excess thereof. The Exchange Notes do not provide for any sinking fund. The Exchange Notes will be recorded on, and transferred through, the records maintained by DTC and its direct and indirect participants, including Euroclear and Clearstream.</w:t>
      </w:r>
    </w:p>
    <w:p>
      <w:pPr>
        <w:spacing w:after="0" w:line="144" w:lineRule="exact"/>
        <w:rPr>
          <w:sz w:val="20"/>
          <w:szCs w:val="20"/>
          <w:color w:val="auto"/>
        </w:rPr>
      </w:pPr>
    </w:p>
    <w:p>
      <w:pPr>
        <w:ind w:left="1480" w:right="519"/>
        <w:spacing w:after="0" w:line="256" w:lineRule="auto"/>
        <w:rPr>
          <w:sz w:val="20"/>
          <w:szCs w:val="20"/>
          <w:color w:val="auto"/>
        </w:rPr>
      </w:pPr>
      <w:r>
        <w:rPr>
          <w:rFonts w:ascii="Times New Roman" w:cs="Times New Roman" w:eastAsia="Times New Roman" w:hAnsi="Times New Roman"/>
          <w:sz w:val="14"/>
          <w:szCs w:val="14"/>
          <w:color w:val="auto"/>
        </w:rPr>
        <w:t>For purposes of the Exchange Notes, “</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 means any day that is not a Saturday, a Sunday or a day on which banking institutions in any of New York, New York; London, England; or a place of payment on the debt securities of that series is authorized or obligated by law, regulation or executive order to remain closed.</w:t>
      </w:r>
    </w:p>
    <w:p>
      <w:pPr>
        <w:spacing w:after="0" w:line="1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Interest on the Exchange Notes</w:t>
      </w:r>
    </w:p>
    <w:p>
      <w:pPr>
        <w:spacing w:after="0" w:line="190" w:lineRule="exact"/>
        <w:rPr>
          <w:sz w:val="20"/>
          <w:szCs w:val="20"/>
          <w:color w:val="auto"/>
        </w:rPr>
      </w:pPr>
    </w:p>
    <w:p>
      <w:pPr>
        <w:ind w:left="2220" w:hanging="331"/>
        <w:spacing w:after="0"/>
        <w:tabs>
          <w:tab w:leader="none" w:pos="2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3.875% 2028 Notes will bear interest at 3.875% per annum and mature on November 13, 2028.</w:t>
      </w:r>
    </w:p>
    <w:p>
      <w:pPr>
        <w:spacing w:after="0" w:line="185" w:lineRule="exact"/>
        <w:rPr>
          <w:rFonts w:ascii="Times New Roman" w:cs="Times New Roman" w:eastAsia="Times New Roman" w:hAnsi="Times New Roman"/>
          <w:sz w:val="14"/>
          <w:szCs w:val="14"/>
          <w:color w:val="auto"/>
        </w:rPr>
      </w:pPr>
    </w:p>
    <w:p>
      <w:pPr>
        <w:ind w:left="5580" w:right="1959" w:hanging="3691"/>
        <w:spacing w:after="0" w:line="431" w:lineRule="auto"/>
        <w:tabs>
          <w:tab w:leader="none" w:pos="2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6.375% 2038 Notes will bear interest at 6.375% per annum and mature on December 15, 2038. 24</w:t>
      </w:r>
    </w:p>
    <w:p>
      <w:pPr>
        <w:sectPr>
          <w:pgSz w:w="11900" w:h="16838" w:orient="portrait"/>
          <w:cols w:equalWidth="0" w:num="1">
            <w:col w:w="10159"/>
          </w:cols>
          <w:pgMar w:left="300" w:top="378"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hanging="331"/>
        <w:spacing w:after="0"/>
        <w:tabs>
          <w:tab w:leader="none" w:pos="2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5.500% 2040 Notes will bear interest at 5.500% per annum and mature on March 25, 2040.</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5.125% 2041 Notes will bear interest at 5.125% per annum and mature on October 15, 2041.</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3.125% 2049 Notes will bear interest at 3.125% per annum and mature on November 7, 2049.</w:t>
      </w:r>
    </w:p>
    <w:p>
      <w:pPr>
        <w:spacing w:after="0" w:line="185" w:lineRule="exact"/>
        <w:rPr>
          <w:rFonts w:ascii="Times New Roman" w:cs="Times New Roman" w:eastAsia="Times New Roman" w:hAnsi="Times New Roman"/>
          <w:sz w:val="14"/>
          <w:szCs w:val="14"/>
          <w:color w:val="auto"/>
        </w:rPr>
      </w:pPr>
    </w:p>
    <w:p>
      <w:pPr>
        <w:ind w:left="1480" w:right="1939" w:firstLine="409"/>
        <w:spacing w:after="0" w:line="580" w:lineRule="auto"/>
        <w:tabs>
          <w:tab w:leader="none" w:pos="2215"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Exchange 3.000% 2051 Notes will bear interest at 3.000% per annum and mature on November 26, 2051. The “</w:t>
      </w:r>
      <w:r>
        <w:rPr>
          <w:rFonts w:ascii="Times New Roman" w:cs="Times New Roman" w:eastAsia="Times New Roman" w:hAnsi="Times New Roman"/>
          <w:sz w:val="12"/>
          <w:szCs w:val="12"/>
          <w:b w:val="1"/>
          <w:bCs w:val="1"/>
          <w:color w:val="auto"/>
        </w:rPr>
        <w:t>Interest Payment Dates</w:t>
      </w:r>
      <w:r>
        <w:rPr>
          <w:rFonts w:ascii="Times New Roman" w:cs="Times New Roman" w:eastAsia="Times New Roman" w:hAnsi="Times New Roman"/>
          <w:sz w:val="12"/>
          <w:szCs w:val="12"/>
          <w:color w:val="auto"/>
        </w:rPr>
        <w:t>” and the “</w:t>
      </w:r>
      <w:r>
        <w:rPr>
          <w:rFonts w:ascii="Times New Roman" w:cs="Times New Roman" w:eastAsia="Times New Roman" w:hAnsi="Times New Roman"/>
          <w:sz w:val="12"/>
          <w:szCs w:val="12"/>
          <w:b w:val="1"/>
          <w:bCs w:val="1"/>
          <w:color w:val="auto"/>
        </w:rPr>
        <w:t>Record Dates</w:t>
      </w:r>
      <w:r>
        <w:rPr>
          <w:rFonts w:ascii="Times New Roman" w:cs="Times New Roman" w:eastAsia="Times New Roman" w:hAnsi="Times New Roman"/>
          <w:sz w:val="12"/>
          <w:szCs w:val="12"/>
          <w:color w:val="auto"/>
        </w:rPr>
        <w:t>” for each series of Exchange Notes are shown in the table below.</w:t>
      </w:r>
    </w:p>
    <w:tbl>
      <w:tblPr>
        <w:tblLayout w:type="fixed"/>
        <w:tblInd w:w="1480" w:type="dxa"/>
        <w:tblCellMar>
          <w:top w:w="0" w:type="dxa"/>
          <w:left w:w="0" w:type="dxa"/>
          <w:bottom w:w="0" w:type="dxa"/>
          <w:right w:w="0" w:type="dxa"/>
        </w:tblCellMar>
      </w:tblPr>
      <w:tr>
        <w:trPr>
          <w:trHeight w:val="112"/>
        </w:trPr>
        <w:tc>
          <w:tcPr>
            <w:tcW w:w="6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5"/>
              </w:rPr>
              <w:t>Title of Series</w:t>
            </w:r>
          </w:p>
        </w:tc>
        <w:tc>
          <w:tcPr>
            <w:tcW w:w="2760" w:type="dxa"/>
            <w:vAlign w:val="bottom"/>
            <w:vMerge w:val="restart"/>
          </w:tcPr>
          <w:p>
            <w:pPr>
              <w:spacing w:after="0"/>
              <w:rPr>
                <w:sz w:val="9"/>
                <w:szCs w:val="9"/>
                <w:color w:val="auto"/>
              </w:rPr>
            </w:pPr>
          </w:p>
        </w:tc>
        <w:tc>
          <w:tcPr>
            <w:tcW w:w="720" w:type="dxa"/>
            <w:vAlign w:val="bottom"/>
            <w:gridSpan w:val="2"/>
          </w:tcPr>
          <w:p>
            <w:pPr>
              <w:jc w:val="right"/>
              <w:ind w:right="320"/>
              <w:spacing w:after="0" w:line="113"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160" w:type="dxa"/>
            <w:vAlign w:val="bottom"/>
          </w:tcPr>
          <w:p>
            <w:pPr>
              <w:spacing w:after="0"/>
              <w:rPr>
                <w:sz w:val="9"/>
                <w:szCs w:val="9"/>
                <w:color w:val="auto"/>
              </w:rPr>
            </w:pPr>
          </w:p>
        </w:tc>
        <w:tc>
          <w:tcPr>
            <w:tcW w:w="194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8"/>
              </w:rPr>
              <w:t>Interest Payment</w:t>
            </w:r>
          </w:p>
        </w:tc>
        <w:tc>
          <w:tcPr>
            <w:tcW w:w="160" w:type="dxa"/>
            <w:vAlign w:val="bottom"/>
          </w:tcPr>
          <w:p>
            <w:pPr>
              <w:spacing w:after="0"/>
              <w:rPr>
                <w:sz w:val="9"/>
                <w:szCs w:val="9"/>
                <w:color w:val="auto"/>
              </w:rPr>
            </w:pPr>
          </w:p>
        </w:tc>
        <w:tc>
          <w:tcPr>
            <w:tcW w:w="1940" w:type="dxa"/>
            <w:vAlign w:val="bottom"/>
            <w:vMerge w:val="restart"/>
          </w:tcPr>
          <w:p>
            <w:pPr>
              <w:ind w:left="660"/>
              <w:spacing w:after="0"/>
              <w:rPr>
                <w:sz w:val="20"/>
                <w:szCs w:val="20"/>
                <w:color w:val="auto"/>
              </w:rPr>
            </w:pPr>
            <w:r>
              <w:rPr>
                <w:rFonts w:ascii="Times New Roman" w:cs="Times New Roman" w:eastAsia="Times New Roman" w:hAnsi="Times New Roman"/>
                <w:sz w:val="11"/>
                <w:szCs w:val="11"/>
                <w:b w:val="1"/>
                <w:bCs w:val="1"/>
                <w:color w:val="auto"/>
              </w:rPr>
              <w:t>Record Dates</w:t>
            </w:r>
          </w:p>
        </w:tc>
        <w:tc>
          <w:tcPr>
            <w:tcW w:w="0" w:type="dxa"/>
            <w:vAlign w:val="bottom"/>
          </w:tcPr>
          <w:p>
            <w:pPr>
              <w:spacing w:after="0"/>
              <w:rPr>
                <w:sz w:val="1"/>
                <w:szCs w:val="1"/>
                <w:color w:val="auto"/>
              </w:rPr>
            </w:pPr>
          </w:p>
        </w:tc>
      </w:tr>
      <w:tr>
        <w:trPr>
          <w:trHeight w:val="126"/>
        </w:trPr>
        <w:tc>
          <w:tcPr>
            <w:tcW w:w="640" w:type="dxa"/>
            <w:vAlign w:val="bottom"/>
            <w:tcBorders>
              <w:bottom w:val="single" w:sz="8" w:color="auto"/>
            </w:tcBorders>
            <w:vMerge w:val="continue"/>
          </w:tcPr>
          <w:p>
            <w:pPr>
              <w:spacing w:after="0"/>
              <w:rPr>
                <w:sz w:val="10"/>
                <w:szCs w:val="10"/>
                <w:color w:val="auto"/>
              </w:rPr>
            </w:pPr>
          </w:p>
        </w:tc>
        <w:tc>
          <w:tcPr>
            <w:tcW w:w="2760" w:type="dxa"/>
            <w:vAlign w:val="bottom"/>
            <w:vMerge w:val="continue"/>
          </w:tcPr>
          <w:p>
            <w:pPr>
              <w:spacing w:after="0"/>
              <w:rPr>
                <w:sz w:val="10"/>
                <w:szCs w:val="10"/>
                <w:color w:val="auto"/>
              </w:rPr>
            </w:pPr>
          </w:p>
        </w:tc>
        <w:tc>
          <w:tcPr>
            <w:tcW w:w="720" w:type="dxa"/>
            <w:vAlign w:val="bottom"/>
            <w:gridSpan w:val="2"/>
          </w:tcPr>
          <w:p>
            <w:pPr>
              <w:jc w:val="right"/>
              <w:ind w:right="380"/>
              <w:spacing w:after="0" w:line="121" w:lineRule="exact"/>
              <w:rPr>
                <w:sz w:val="20"/>
                <w:szCs w:val="20"/>
                <w:color w:val="auto"/>
              </w:rPr>
            </w:pPr>
            <w:r>
              <w:rPr>
                <w:rFonts w:ascii="Times New Roman" w:cs="Times New Roman" w:eastAsia="Times New Roman" w:hAnsi="Times New Roman"/>
                <w:sz w:val="11"/>
                <w:szCs w:val="11"/>
                <w:b w:val="1"/>
                <w:bCs w:val="1"/>
                <w:color w:val="auto"/>
              </w:rPr>
              <w:t>Rate</w:t>
            </w:r>
          </w:p>
        </w:tc>
        <w:tc>
          <w:tcPr>
            <w:tcW w:w="160" w:type="dxa"/>
            <w:vAlign w:val="bottom"/>
          </w:tcPr>
          <w:p>
            <w:pPr>
              <w:spacing w:after="0"/>
              <w:rPr>
                <w:sz w:val="10"/>
                <w:szCs w:val="10"/>
                <w:color w:val="auto"/>
              </w:rPr>
            </w:pPr>
          </w:p>
        </w:tc>
        <w:tc>
          <w:tcPr>
            <w:tcW w:w="194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8"/>
              </w:rPr>
              <w:t>Dates</w:t>
            </w:r>
          </w:p>
        </w:tc>
        <w:tc>
          <w:tcPr>
            <w:tcW w:w="16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3.875% Guaranteed Notes due 2028</w:t>
            </w: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400" w:type="dxa"/>
            <w:vAlign w:val="bottom"/>
            <w:gridSpan w:val="2"/>
            <w:vMerge w:val="continue"/>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rPr>
              <w:t>3.875%</w:t>
            </w:r>
          </w:p>
        </w:tc>
        <w:tc>
          <w:tcPr>
            <w:tcW w:w="160" w:type="dxa"/>
            <w:vAlign w:val="bottom"/>
            <w:vMerge w:val="continue"/>
            <w:shd w:val="clear" w:color="auto" w:fill="CCEEFF"/>
          </w:tcPr>
          <w:p>
            <w:pPr>
              <w:spacing w:after="0"/>
              <w:rPr>
                <w:sz w:val="12"/>
                <w:szCs w:val="12"/>
                <w:color w:val="auto"/>
              </w:rPr>
            </w:pPr>
          </w:p>
        </w:tc>
        <w:tc>
          <w:tcPr>
            <w:tcW w:w="19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May 13 and November 13</w:t>
            </w:r>
          </w:p>
        </w:tc>
        <w:tc>
          <w:tcPr>
            <w:tcW w:w="160" w:type="dxa"/>
            <w:vAlign w:val="bottom"/>
            <w:vMerge w:val="continue"/>
            <w:shd w:val="clear" w:color="auto" w:fill="CCEEFF"/>
          </w:tcPr>
          <w:p>
            <w:pPr>
              <w:spacing w:after="0"/>
              <w:rPr>
                <w:sz w:val="12"/>
                <w:szCs w:val="12"/>
                <w:color w:val="auto"/>
              </w:rPr>
            </w:pPr>
          </w:p>
        </w:tc>
        <w:tc>
          <w:tcPr>
            <w:tcW w:w="19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April 28 and October 29</w:t>
            </w:r>
          </w:p>
        </w:tc>
        <w:tc>
          <w:tcPr>
            <w:tcW w:w="0" w:type="dxa"/>
            <w:vAlign w:val="bottom"/>
          </w:tcPr>
          <w:p>
            <w:pPr>
              <w:spacing w:after="0"/>
              <w:rPr>
                <w:sz w:val="1"/>
                <w:szCs w:val="1"/>
                <w:color w:val="auto"/>
              </w:rPr>
            </w:pPr>
          </w:p>
        </w:tc>
      </w:tr>
      <w:tr>
        <w:trPr>
          <w:trHeight w:val="163"/>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6.375% Guaranteed Notes due 2038</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6.375%</w:t>
            </w: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June 15 and December 15</w:t>
            </w: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June 1 and December 1</w:t>
            </w:r>
          </w:p>
        </w:tc>
        <w:tc>
          <w:tcPr>
            <w:tcW w:w="0" w:type="dxa"/>
            <w:vAlign w:val="bottom"/>
          </w:tcPr>
          <w:p>
            <w:pPr>
              <w:spacing w:after="0"/>
              <w:rPr>
                <w:sz w:val="1"/>
                <w:szCs w:val="1"/>
                <w:color w:val="auto"/>
              </w:rPr>
            </w:pPr>
          </w:p>
        </w:tc>
      </w:tr>
      <w:tr>
        <w:trPr>
          <w:trHeight w:val="163"/>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5.500% Guaranteed Notes due 2040</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5.500%</w:t>
            </w:r>
          </w:p>
        </w:tc>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March 25 and September 25</w:t>
            </w:r>
          </w:p>
        </w:tc>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September 10 and March 10</w:t>
            </w:r>
          </w:p>
        </w:tc>
        <w:tc>
          <w:tcPr>
            <w:tcW w:w="0" w:type="dxa"/>
            <w:vAlign w:val="bottom"/>
          </w:tcPr>
          <w:p>
            <w:pPr>
              <w:spacing w:after="0"/>
              <w:rPr>
                <w:sz w:val="1"/>
                <w:szCs w:val="1"/>
                <w:color w:val="auto"/>
              </w:rPr>
            </w:pPr>
          </w:p>
        </w:tc>
      </w:tr>
      <w:tr>
        <w:trPr>
          <w:trHeight w:val="163"/>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5.125% Guaranteed Notes due 2041</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5.125%</w:t>
            </w: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April 15 and October 15</w:t>
            </w: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April 1 and October 1</w:t>
            </w:r>
          </w:p>
        </w:tc>
        <w:tc>
          <w:tcPr>
            <w:tcW w:w="0" w:type="dxa"/>
            <w:vAlign w:val="bottom"/>
          </w:tcPr>
          <w:p>
            <w:pPr>
              <w:spacing w:after="0"/>
              <w:rPr>
                <w:sz w:val="1"/>
                <w:szCs w:val="1"/>
                <w:color w:val="auto"/>
              </w:rPr>
            </w:pPr>
          </w:p>
        </w:tc>
      </w:tr>
      <w:tr>
        <w:trPr>
          <w:trHeight w:val="163"/>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3.125% Guaranteed Notes due 2049</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3.125%</w:t>
            </w:r>
          </w:p>
        </w:tc>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May 7 and November 7</w:t>
            </w:r>
          </w:p>
        </w:tc>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April 22 and October 23</w:t>
            </w:r>
          </w:p>
        </w:tc>
        <w:tc>
          <w:tcPr>
            <w:tcW w:w="0" w:type="dxa"/>
            <w:vAlign w:val="bottom"/>
          </w:tcPr>
          <w:p>
            <w:pPr>
              <w:spacing w:after="0"/>
              <w:rPr>
                <w:sz w:val="1"/>
                <w:szCs w:val="1"/>
                <w:color w:val="auto"/>
              </w:rPr>
            </w:pPr>
          </w:p>
        </w:tc>
      </w:tr>
      <w:tr>
        <w:trPr>
          <w:trHeight w:val="175"/>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3.000% Guaranteed Notes due 2051</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3.000%</w:t>
            </w: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May 26 and November 26</w:t>
            </w: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May 11 and November 11</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Additional Notes</w:t>
      </w:r>
    </w:p>
    <w:p>
      <w:pPr>
        <w:spacing w:after="0" w:line="170" w:lineRule="exact"/>
        <w:rPr>
          <w:sz w:val="20"/>
          <w:szCs w:val="20"/>
          <w:color w:val="auto"/>
        </w:rPr>
      </w:pPr>
    </w:p>
    <w:p>
      <w:pPr>
        <w:ind w:left="1480" w:right="359"/>
        <w:spacing w:after="0" w:line="245" w:lineRule="auto"/>
        <w:rPr>
          <w:sz w:val="20"/>
          <w:szCs w:val="20"/>
          <w:color w:val="auto"/>
        </w:rPr>
      </w:pPr>
      <w:r>
        <w:rPr>
          <w:rFonts w:ascii="Times New Roman" w:cs="Times New Roman" w:eastAsia="Times New Roman" w:hAnsi="Times New Roman"/>
          <w:sz w:val="14"/>
          <w:szCs w:val="14"/>
          <w:color w:val="auto"/>
        </w:rPr>
        <w:t>Each series of the Exchange Notes will constitute a separate series of notes under the Shell Finance US Indenture. Each series of the Exchange Notes will be issued in an initial aggregate principal amount not to exceed the outstanding principal amount of the relevant series of Restricted Notes. The Issuer may, from time to time, without notice to or the consent of the holders, create and issue, pursuant to the Shell Finance US Indenture and in accordance with applicable laws and regulations, additional Exchange Notes (the “</w:t>
      </w:r>
      <w:r>
        <w:rPr>
          <w:rFonts w:ascii="Times New Roman" w:cs="Times New Roman" w:eastAsia="Times New Roman" w:hAnsi="Times New Roman"/>
          <w:sz w:val="14"/>
          <w:szCs w:val="14"/>
          <w:b w:val="1"/>
          <w:bCs w:val="1"/>
          <w:color w:val="auto"/>
        </w:rPr>
        <w:t>Additional Notes</w:t>
      </w:r>
      <w:r>
        <w:rPr>
          <w:rFonts w:ascii="Times New Roman" w:cs="Times New Roman" w:eastAsia="Times New Roman" w:hAnsi="Times New Roman"/>
          <w:sz w:val="14"/>
          <w:szCs w:val="14"/>
          <w:color w:val="auto"/>
        </w:rPr>
        <w:t xml:space="preserve">”) maturing on the same maturity date as the other Exchange Notes of a series and having the same terms under the Shell Finance US Indenture (including with respect to the Guarantor and the Guarantees) as the previously outstanding Exchange Notes of that series in all respects (or in all respects except for issuance date, issue price and, possibly, the first interest payment date and the date interest starts accruing) so that such Additional Notes shall be consolidated and form a single series with the previously outstanding Exchange Notes of that series,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Additional Notes of any series that have the same CUSIP, ISIN or other identifying number as the outstanding Exchange Notes of that series must be fungible for U.S. federal tax purposes with all outstanding Exchange Notes of the same series. Without limiting the foregoing, the Issuer may, from time to time, without notice to or the consent of the holders, create and issue, pursuant to the Shell Finance US Indenture and in accordance with applicable laws and regulations, additional series of notes with additional or different terms and maturity dates than the Exchange Notes.</w:t>
      </w:r>
    </w:p>
    <w:p>
      <w:pPr>
        <w:spacing w:after="0" w:line="1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Guarantees</w:t>
      </w:r>
    </w:p>
    <w:p>
      <w:pPr>
        <w:spacing w:after="0" w:line="170" w:lineRule="exact"/>
        <w:rPr>
          <w:sz w:val="20"/>
          <w:szCs w:val="20"/>
          <w:color w:val="auto"/>
        </w:rPr>
      </w:pPr>
    </w:p>
    <w:p>
      <w:pPr>
        <w:ind w:left="1480" w:right="399"/>
        <w:spacing w:after="0" w:line="247" w:lineRule="auto"/>
        <w:rPr>
          <w:sz w:val="20"/>
          <w:szCs w:val="20"/>
          <w:color w:val="auto"/>
        </w:rPr>
      </w:pPr>
      <w:r>
        <w:rPr>
          <w:rFonts w:ascii="Times New Roman" w:cs="Times New Roman" w:eastAsia="Times New Roman" w:hAnsi="Times New Roman"/>
          <w:sz w:val="14"/>
          <w:szCs w:val="14"/>
          <w:color w:val="auto"/>
        </w:rPr>
        <w:t>Shell will fully and unconditionally guarantee on a senior unsecured basis the full and prompt payment of the principal of, any premium and interest on, and any additional amounts which may be payable by Shell Finance US in respect of the Exchange Notes when and as the payment becomes due and payable, whether at maturity or otherwise. The Guarantees will provide that in the event of a default in the payment of principal of, any premium and interest on, and any additional amounts which may be payable by Shell Finance US in respect of an Exchange Note, the holder of that Exchange Note may institute legal proceedings directly against Shell to enforce the Guarantees without first proceeding against Shell Finance US or exhausting any other remedies</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78"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459"/>
        <w:spacing w:after="0" w:line="253" w:lineRule="auto"/>
        <w:rPr>
          <w:sz w:val="20"/>
          <w:szCs w:val="20"/>
          <w:color w:val="auto"/>
        </w:rPr>
      </w:pPr>
      <w:r>
        <w:rPr>
          <w:rFonts w:ascii="Times New Roman" w:cs="Times New Roman" w:eastAsia="Times New Roman" w:hAnsi="Times New Roman"/>
          <w:sz w:val="14"/>
          <w:szCs w:val="14"/>
          <w:color w:val="auto"/>
        </w:rPr>
        <w:t>which such holder may have and without resorting to any other security held by it. The Guarantees will rank equally with all of Shell’s other unsecured and unsubordinated debt from time to time outstanding. Because Shell is a holding company, the guarantee will effectively rank junior to any indebtedness of Shell’s subsidiaries.</w:t>
      </w:r>
    </w:p>
    <w:p>
      <w:pPr>
        <w:spacing w:after="0" w:line="1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Redemption</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Optional Redemption</w:t>
      </w:r>
    </w:p>
    <w:p>
      <w:pPr>
        <w:spacing w:after="0" w:line="170" w:lineRule="exact"/>
        <w:rPr>
          <w:sz w:val="20"/>
          <w:szCs w:val="20"/>
          <w:color w:val="auto"/>
        </w:rPr>
      </w:pPr>
    </w:p>
    <w:p>
      <w:pPr>
        <w:ind w:left="1480" w:right="399"/>
        <w:spacing w:after="0" w:line="253" w:lineRule="auto"/>
        <w:rPr>
          <w:sz w:val="20"/>
          <w:szCs w:val="20"/>
          <w:color w:val="auto"/>
        </w:rPr>
      </w:pPr>
      <w:r>
        <w:rPr>
          <w:rFonts w:ascii="Times New Roman" w:cs="Times New Roman" w:eastAsia="Times New Roman" w:hAnsi="Times New Roman"/>
          <w:sz w:val="14"/>
          <w:szCs w:val="14"/>
          <w:color w:val="auto"/>
        </w:rPr>
        <w:t>Shell Finance US will have the right to redeem each series of the Exchange Notes listed in the immediately following table at its option, in whole or in part, at any time and from time to time, at a redemption price (expressed as a percentage of principal amount and rounded to three decimal places) equal to the greater of:</w:t>
      </w:r>
    </w:p>
    <w:p>
      <w:pPr>
        <w:spacing w:after="0" w:line="144" w:lineRule="exact"/>
        <w:rPr>
          <w:sz w:val="20"/>
          <w:szCs w:val="20"/>
          <w:color w:val="auto"/>
        </w:rPr>
      </w:pPr>
    </w:p>
    <w:p>
      <w:pPr>
        <w:ind w:left="1480" w:right="399" w:firstLine="1"/>
        <w:spacing w:after="0" w:line="250" w:lineRule="auto"/>
        <w:tabs>
          <w:tab w:leader="none" w:pos="1673"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sum of the present values of the remaining scheduled payments of principal and interest on the applicable series of the Exchange Notes discounted to the applicable redemption date on a semi-annual basis (assuming a 360-day year consisting of twelve 30-day months) at the Treasury Rate plus the applicable Make-Whole Spread (as set forth in the table below) for such series of Exchange Notes, less (b) interest accrued to the applicable date of redemption; and</w:t>
      </w:r>
    </w:p>
    <w:p>
      <w:pPr>
        <w:spacing w:after="0" w:line="145" w:lineRule="exact"/>
        <w:rPr>
          <w:rFonts w:ascii="Times New Roman" w:cs="Times New Roman" w:eastAsia="Times New Roman" w:hAnsi="Times New Roman"/>
          <w:sz w:val="14"/>
          <w:szCs w:val="14"/>
          <w:color w:val="auto"/>
        </w:rPr>
      </w:pPr>
    </w:p>
    <w:p>
      <w:pPr>
        <w:ind w:left="1680" w:hanging="199"/>
        <w:spacing w:after="0"/>
        <w:tabs>
          <w:tab w:leader="none" w:pos="16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principal amount of the Exchange Notes to be redeemed;</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plus, in either case, accrued and unpaid interest thereon to, but not including, the applicable redemption date.</w:t>
      </w:r>
    </w:p>
    <w:p>
      <w:pPr>
        <w:spacing w:after="0" w:line="180" w:lineRule="exact"/>
        <w:rPr>
          <w:sz w:val="20"/>
          <w:szCs w:val="20"/>
          <w:color w:val="auto"/>
        </w:rPr>
      </w:pPr>
    </w:p>
    <w:tbl>
      <w:tblPr>
        <w:tblLayout w:type="fixed"/>
        <w:tblInd w:w="14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400" w:type="dxa"/>
            <w:vAlign w:val="bottom"/>
            <w:gridSpan w:val="2"/>
          </w:tcPr>
          <w:p>
            <w:pPr>
              <w:ind w:left="1780"/>
              <w:spacing w:after="0"/>
              <w:rPr>
                <w:sz w:val="20"/>
                <w:szCs w:val="20"/>
                <w:color w:val="auto"/>
              </w:rPr>
            </w:pPr>
            <w:r>
              <w:rPr>
                <w:rFonts w:ascii="Times New Roman" w:cs="Times New Roman" w:eastAsia="Times New Roman" w:hAnsi="Times New Roman"/>
                <w:sz w:val="11"/>
                <w:szCs w:val="11"/>
                <w:b w:val="1"/>
                <w:bCs w:val="1"/>
                <w:color w:val="auto"/>
              </w:rPr>
              <w:t>Title of Series</w:t>
            </w:r>
          </w:p>
        </w:tc>
        <w:tc>
          <w:tcPr>
            <w:tcW w:w="3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Make-Whole Spread</w:t>
            </w:r>
          </w:p>
        </w:tc>
      </w:tr>
      <w:tr>
        <w:trPr>
          <w:trHeight w:val="141"/>
        </w:trPr>
        <w:tc>
          <w:tcPr>
            <w:tcW w:w="20" w:type="dxa"/>
            <w:vAlign w:val="bottom"/>
          </w:tcPr>
          <w:p>
            <w:pPr>
              <w:spacing w:after="0"/>
              <w:rPr>
                <w:sz w:val="12"/>
                <w:szCs w:val="12"/>
                <w:color w:val="auto"/>
              </w:rPr>
            </w:pPr>
          </w:p>
        </w:tc>
        <w:tc>
          <w:tcPr>
            <w:tcW w:w="42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color w:val="auto"/>
              </w:rPr>
              <w:t>6.375% Guaranteed Notes due 2038</w:t>
            </w:r>
          </w:p>
        </w:tc>
        <w:tc>
          <w:tcPr>
            <w:tcW w:w="160" w:type="dxa"/>
            <w:vAlign w:val="bottom"/>
          </w:tcPr>
          <w:p>
            <w:pPr>
              <w:spacing w:after="0"/>
              <w:rPr>
                <w:sz w:val="12"/>
                <w:szCs w:val="12"/>
                <w:color w:val="auto"/>
              </w:rPr>
            </w:pPr>
          </w:p>
        </w:tc>
        <w:tc>
          <w:tcPr>
            <w:tcW w:w="39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50 bps</w:t>
            </w:r>
          </w:p>
        </w:tc>
      </w:tr>
      <w:tr>
        <w:trPr>
          <w:trHeight w:val="163"/>
        </w:trPr>
        <w:tc>
          <w:tcPr>
            <w:tcW w:w="4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5.500% Guaranteed Notes due 2040</w:t>
            </w:r>
          </w:p>
        </w:tc>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14 bps</w:t>
            </w:r>
          </w:p>
        </w:tc>
      </w:tr>
      <w:tr>
        <w:trPr>
          <w:trHeight w:val="175"/>
        </w:trPr>
        <w:tc>
          <w:tcPr>
            <w:tcW w:w="4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5.125% Guaranteed Notes due 2041</w:t>
            </w:r>
          </w:p>
        </w:tc>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35 bps</w:t>
            </w:r>
          </w:p>
        </w:tc>
      </w:tr>
    </w:tbl>
    <w:p>
      <w:pPr>
        <w:spacing w:after="0" w:line="147" w:lineRule="exact"/>
        <w:rPr>
          <w:sz w:val="20"/>
          <w:szCs w:val="20"/>
          <w:color w:val="auto"/>
        </w:rPr>
      </w:pPr>
    </w:p>
    <w:p>
      <w:pPr>
        <w:ind w:left="1480" w:right="91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Treasury Rate</w:t>
      </w:r>
      <w:r>
        <w:rPr>
          <w:rFonts w:ascii="Times New Roman" w:cs="Times New Roman" w:eastAsia="Times New Roman" w:hAnsi="Times New Roman"/>
          <w:sz w:val="14"/>
          <w:szCs w:val="14"/>
          <w:color w:val="auto"/>
        </w:rPr>
        <w:t>” means, with respect to any redemption date for any series of Exchange Notes listed in the table immediately above, the yield determined by us in accordance with the following two paragraphs.</w:t>
      </w:r>
    </w:p>
    <w:p>
      <w:pPr>
        <w:spacing w:after="0" w:line="132" w:lineRule="exact"/>
        <w:rPr>
          <w:sz w:val="20"/>
          <w:szCs w:val="20"/>
          <w:color w:val="auto"/>
        </w:rPr>
      </w:pPr>
    </w:p>
    <w:p>
      <w:pPr>
        <w:ind w:left="1480" w:right="359"/>
        <w:spacing w:after="0" w:line="245" w:lineRule="auto"/>
        <w:rPr>
          <w:sz w:val="20"/>
          <w:szCs w:val="20"/>
          <w:color w:val="auto"/>
        </w:rPr>
      </w:pPr>
      <w:r>
        <w:rPr>
          <w:rFonts w:ascii="Times New Roman" w:cs="Times New Roman" w:eastAsia="Times New Roman" w:hAnsi="Times New Roman"/>
          <w:sz w:val="14"/>
          <w:szCs w:val="14"/>
          <w:color w:val="auto"/>
        </w:rPr>
        <w:t>The Treasury Rate applicable to such redemption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4"/>
          <w:szCs w:val="14"/>
          <w:b w:val="1"/>
          <w:bCs w:val="1"/>
          <w:color w:val="auto"/>
        </w:rPr>
        <w:t>H.15</w:t>
      </w:r>
      <w:r>
        <w:rPr>
          <w:rFonts w:ascii="Times New Roman" w:cs="Times New Roman" w:eastAsia="Times New Roman" w:hAnsi="Times New Roman"/>
          <w:sz w:val="14"/>
          <w:szCs w:val="14"/>
          <w:color w:val="auto"/>
        </w:rPr>
        <w:t>”) under the caption “U.S. government securities—Treasury constant maturities—Nominal” (or any successor caption or heading) (“</w:t>
      </w:r>
      <w:r>
        <w:rPr>
          <w:rFonts w:ascii="Times New Roman" w:cs="Times New Roman" w:eastAsia="Times New Roman" w:hAnsi="Times New Roman"/>
          <w:sz w:val="14"/>
          <w:szCs w:val="14"/>
          <w:b w:val="1"/>
          <w:bCs w:val="1"/>
          <w:color w:val="auto"/>
        </w:rPr>
        <w:t>H.15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TCM</w:t>
      </w:r>
      <w:r>
        <w:rPr>
          <w:rFonts w:ascii="Times New Roman" w:cs="Times New Roman" w:eastAsia="Times New Roman" w:hAnsi="Times New Roman"/>
          <w:sz w:val="14"/>
          <w:szCs w:val="14"/>
          <w:color w:val="auto"/>
        </w:rPr>
        <w:t>”). In determining the applicable Treasury Rate, Shell Finance US shall select, as applicable: (1) the yield for the Treasury constant maturity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H.15 exactly equal to the period from the redemption date to the maturity date of the Exchange Notes (the “</w:t>
      </w:r>
      <w:r>
        <w:rPr>
          <w:rFonts w:ascii="Times New Roman" w:cs="Times New Roman" w:eastAsia="Times New Roman" w:hAnsi="Times New Roman"/>
          <w:sz w:val="14"/>
          <w:szCs w:val="14"/>
          <w:b w:val="1"/>
          <w:bCs w:val="1"/>
          <w:color w:val="auto"/>
        </w:rPr>
        <w:t>Remaining Life</w:t>
      </w:r>
      <w:r>
        <w:rPr>
          <w:rFonts w:ascii="Times New Roman" w:cs="Times New Roman" w:eastAsia="Times New Roman" w:hAnsi="Times New Roman"/>
          <w:sz w:val="14"/>
          <w:szCs w:val="14"/>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 and shall interpolate to the maturity date of the Exchange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48" w:lineRule="exact"/>
        <w:rPr>
          <w:sz w:val="20"/>
          <w:szCs w:val="20"/>
          <w:color w:val="auto"/>
        </w:rPr>
      </w:pPr>
    </w:p>
    <w:p>
      <w:pPr>
        <w:ind w:left="1480" w:right="379"/>
        <w:spacing w:after="0" w:line="253" w:lineRule="auto"/>
        <w:rPr>
          <w:sz w:val="20"/>
          <w:szCs w:val="20"/>
          <w:color w:val="auto"/>
        </w:rPr>
      </w:pPr>
      <w:r>
        <w:rPr>
          <w:rFonts w:ascii="Times New Roman" w:cs="Times New Roman" w:eastAsia="Times New Roman" w:hAnsi="Times New Roman"/>
          <w:sz w:val="14"/>
          <w:szCs w:val="14"/>
          <w:color w:val="auto"/>
        </w:rPr>
        <w:t>If on the third business day preceding the redemption date H.15 TCM is no longer published, we shall calculate the Treasury Rate applicable to such redemption based on the rate per annum equal to the semi-annual equivalent yield to maturity at 11:00 a.m., New York City time, on the second business day preceding such redemption date</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78"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59"/>
        <w:spacing w:after="0" w:line="245" w:lineRule="auto"/>
        <w:rPr>
          <w:sz w:val="20"/>
          <w:szCs w:val="20"/>
          <w:color w:val="auto"/>
        </w:rPr>
      </w:pPr>
      <w:r>
        <w:rPr>
          <w:rFonts w:ascii="Times New Roman" w:cs="Times New Roman" w:eastAsia="Times New Roman" w:hAnsi="Times New Roman"/>
          <w:sz w:val="14"/>
          <w:szCs w:val="14"/>
          <w:color w:val="auto"/>
        </w:rPr>
        <w:t>of the United States Treasury security maturing on, or with a maturity that is closest to, the maturity date of the Exchange Notes, as applicable. If there is no United States Treasury security maturing on the maturity date of the Exchange Notes, but there are two or more United States Treasury securities with a maturity date equally distant from the maturity date of the Exchange Notes, one with a maturity date preceding the maturity date of the Exchange Notes and one with a maturity date following the maturity date of the Exchange Notes, we shall select the United States Treasury security with a maturity date preceding the maturity date of the Exchange Notes. If there are two or more United States Treasury securities maturing on the maturity date of the Exchange Notes,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51" w:lineRule="exact"/>
        <w:rPr>
          <w:sz w:val="20"/>
          <w:szCs w:val="20"/>
          <w:color w:val="auto"/>
        </w:rPr>
      </w:pPr>
    </w:p>
    <w:p>
      <w:pPr>
        <w:jc w:val="both"/>
        <w:ind w:left="1480" w:right="479"/>
        <w:spacing w:after="0" w:line="253" w:lineRule="auto"/>
        <w:rPr>
          <w:sz w:val="20"/>
          <w:szCs w:val="20"/>
          <w:color w:val="auto"/>
        </w:rPr>
      </w:pPr>
      <w:r>
        <w:rPr>
          <w:rFonts w:ascii="Times New Roman" w:cs="Times New Roman" w:eastAsia="Times New Roman" w:hAnsi="Times New Roman"/>
          <w:sz w:val="14"/>
          <w:szCs w:val="14"/>
          <w:color w:val="auto"/>
        </w:rPr>
        <w:t xml:space="preserve">Shell Finance US will have the right to redeem each series of the Exchange Notes listed in the immediately following table at its option, in whole or in part, at any time and from time to time </w:t>
      </w:r>
      <w:r>
        <w:rPr>
          <w:rFonts w:ascii="Times New Roman" w:cs="Times New Roman" w:eastAsia="Times New Roman" w:hAnsi="Times New Roman"/>
          <w:sz w:val="14"/>
          <w:szCs w:val="14"/>
          <w:i w:val="1"/>
          <w:iCs w:val="1"/>
          <w:color w:val="auto"/>
        </w:rPr>
        <w:t>prior to</w:t>
      </w:r>
      <w:r>
        <w:rPr>
          <w:rFonts w:ascii="Times New Roman" w:cs="Times New Roman" w:eastAsia="Times New Roman" w:hAnsi="Times New Roman"/>
          <w:sz w:val="14"/>
          <w:szCs w:val="14"/>
          <w:color w:val="auto"/>
        </w:rPr>
        <w:t xml:space="preserve"> the applicable par call date (as set forth in the table below, the “</w:t>
      </w:r>
      <w:r>
        <w:rPr>
          <w:rFonts w:ascii="Times New Roman" w:cs="Times New Roman" w:eastAsia="Times New Roman" w:hAnsi="Times New Roman"/>
          <w:sz w:val="14"/>
          <w:szCs w:val="14"/>
          <w:b w:val="1"/>
          <w:bCs w:val="1"/>
          <w:color w:val="auto"/>
        </w:rPr>
        <w:t>Par Call Date</w:t>
      </w:r>
      <w:r>
        <w:rPr>
          <w:rFonts w:ascii="Times New Roman" w:cs="Times New Roman" w:eastAsia="Times New Roman" w:hAnsi="Times New Roman"/>
          <w:sz w:val="14"/>
          <w:szCs w:val="14"/>
          <w:color w:val="auto"/>
        </w:rPr>
        <w:t>”), at a redemption price (expressed as a percentage of principal amount and rounded to three decimal places) equal to the greater of:</w:t>
      </w:r>
    </w:p>
    <w:p>
      <w:pPr>
        <w:spacing w:after="0" w:line="144" w:lineRule="exact"/>
        <w:rPr>
          <w:sz w:val="20"/>
          <w:szCs w:val="20"/>
          <w:color w:val="auto"/>
        </w:rPr>
      </w:pPr>
    </w:p>
    <w:p>
      <w:pPr>
        <w:ind w:left="1480" w:right="439" w:firstLine="1"/>
        <w:spacing w:after="0" w:line="250" w:lineRule="auto"/>
        <w:tabs>
          <w:tab w:leader="none" w:pos="1673"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sum of the present values of the remaining scheduled payments of principal and interest on the applicable series of the Exchange Notes discounted to the applicable redemption date (assuming the Exchange Notes to be redeemed matured on the applicable Par Call Date) on a semi-annual basis (assuming a 360-day year consisting of twelve 30-day months) at the Treasury Rate plus the applicable Make-Whole Spread (as set forth in the table below) for such series of Exchange Notes, less (b) interest accrued to the applicable date of redemption; and</w:t>
      </w:r>
    </w:p>
    <w:p>
      <w:pPr>
        <w:spacing w:after="0" w:line="145" w:lineRule="exact"/>
        <w:rPr>
          <w:rFonts w:ascii="Times New Roman" w:cs="Times New Roman" w:eastAsia="Times New Roman" w:hAnsi="Times New Roman"/>
          <w:sz w:val="14"/>
          <w:szCs w:val="14"/>
          <w:color w:val="auto"/>
        </w:rPr>
      </w:pPr>
    </w:p>
    <w:p>
      <w:pPr>
        <w:ind w:left="1680" w:hanging="199"/>
        <w:spacing w:after="0"/>
        <w:tabs>
          <w:tab w:leader="none" w:pos="1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principal amount of the Exchange Notes to be redeemed;</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plus, in either case, accrued and unpaid interest thereon to, but not including, the applicable redemption date.</w:t>
      </w:r>
    </w:p>
    <w:p>
      <w:pPr>
        <w:spacing w:after="0" w:line="165" w:lineRule="exact"/>
        <w:rPr>
          <w:sz w:val="20"/>
          <w:szCs w:val="20"/>
          <w:color w:val="auto"/>
        </w:rPr>
      </w:pPr>
    </w:p>
    <w:tbl>
      <w:tblPr>
        <w:tblLayout w:type="fixed"/>
        <w:tblInd w:w="1480" w:type="dxa"/>
        <w:tblCellMar>
          <w:top w:w="0" w:type="dxa"/>
          <w:left w:w="0" w:type="dxa"/>
          <w:bottom w:w="0" w:type="dxa"/>
          <w:right w:w="0" w:type="dxa"/>
        </w:tblCellMar>
      </w:tblPr>
      <w:tr>
        <w:trPr>
          <w:trHeight w:val="126"/>
        </w:trPr>
        <w:tc>
          <w:tcPr>
            <w:tcW w:w="6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5"/>
              </w:rPr>
              <w:t>Title of Series</w:t>
            </w:r>
          </w:p>
        </w:tc>
        <w:tc>
          <w:tcPr>
            <w:tcW w:w="3700" w:type="dxa"/>
            <w:vAlign w:val="bottom"/>
            <w:vMerge w:val="restart"/>
          </w:tcPr>
          <w:p>
            <w:pPr>
              <w:spacing w:after="0"/>
              <w:rPr>
                <w:sz w:val="11"/>
                <w:szCs w:val="11"/>
                <w:color w:val="auto"/>
              </w:rPr>
            </w:pPr>
          </w:p>
        </w:tc>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Make-Whole</w:t>
            </w:r>
          </w:p>
        </w:tc>
        <w:tc>
          <w:tcPr>
            <w:tcW w:w="1820" w:type="dxa"/>
            <w:vAlign w:val="bottom"/>
            <w:vMerge w:val="restart"/>
          </w:tcPr>
          <w:p>
            <w:pPr>
              <w:ind w:left="600"/>
              <w:spacing w:after="0"/>
              <w:rPr>
                <w:sz w:val="20"/>
                <w:szCs w:val="20"/>
                <w:color w:val="auto"/>
              </w:rPr>
            </w:pPr>
            <w:r>
              <w:rPr>
                <w:rFonts w:ascii="Times New Roman" w:cs="Times New Roman" w:eastAsia="Times New Roman" w:hAnsi="Times New Roman"/>
                <w:sz w:val="11"/>
                <w:szCs w:val="11"/>
                <w:b w:val="1"/>
                <w:bCs w:val="1"/>
                <w:color w:val="auto"/>
              </w:rPr>
              <w:t>Par Call Date</w:t>
            </w:r>
          </w:p>
        </w:tc>
        <w:tc>
          <w:tcPr>
            <w:tcW w:w="0" w:type="dxa"/>
            <w:vAlign w:val="bottom"/>
          </w:tcPr>
          <w:p>
            <w:pPr>
              <w:spacing w:after="0"/>
              <w:rPr>
                <w:sz w:val="1"/>
                <w:szCs w:val="1"/>
                <w:color w:val="auto"/>
              </w:rPr>
            </w:pPr>
          </w:p>
        </w:tc>
      </w:tr>
      <w:tr>
        <w:trPr>
          <w:trHeight w:val="151"/>
        </w:trPr>
        <w:tc>
          <w:tcPr>
            <w:tcW w:w="640" w:type="dxa"/>
            <w:vAlign w:val="bottom"/>
            <w:tcBorders>
              <w:bottom w:val="single" w:sz="8" w:color="auto"/>
            </w:tcBorders>
            <w:vMerge w:val="continue"/>
          </w:tcPr>
          <w:p>
            <w:pPr>
              <w:spacing w:after="0"/>
              <w:rPr>
                <w:sz w:val="13"/>
                <w:szCs w:val="13"/>
                <w:color w:val="auto"/>
              </w:rPr>
            </w:pPr>
          </w:p>
        </w:tc>
        <w:tc>
          <w:tcPr>
            <w:tcW w:w="3700" w:type="dxa"/>
            <w:vAlign w:val="bottom"/>
            <w:vMerge w:val="continue"/>
          </w:tcPr>
          <w:p>
            <w:pPr>
              <w:spacing w:after="0"/>
              <w:rPr>
                <w:sz w:val="13"/>
                <w:szCs w:val="13"/>
                <w:color w:val="auto"/>
              </w:rPr>
            </w:pPr>
          </w:p>
        </w:tc>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Spread</w:t>
            </w:r>
          </w:p>
        </w:tc>
        <w:tc>
          <w:tcPr>
            <w:tcW w:w="1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34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color w:val="auto"/>
              </w:rPr>
              <w:t>3.875% Guaranteed Notes due 2028</w:t>
            </w:r>
          </w:p>
        </w:tc>
        <w:tc>
          <w:tcPr>
            <w:tcW w:w="20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color w:val="auto"/>
                <w:w w:val="97"/>
              </w:rPr>
              <w:t>15 bps</w:t>
            </w:r>
          </w:p>
        </w:tc>
        <w:tc>
          <w:tcPr>
            <w:tcW w:w="160" w:type="dxa"/>
            <w:vAlign w:val="bottom"/>
          </w:tcPr>
          <w:p>
            <w:pPr>
              <w:spacing w:after="0"/>
              <w:rPr>
                <w:sz w:val="11"/>
                <w:szCs w:val="11"/>
                <w:color w:val="auto"/>
              </w:rPr>
            </w:pPr>
          </w:p>
        </w:tc>
        <w:tc>
          <w:tcPr>
            <w:tcW w:w="1820" w:type="dxa"/>
            <w:vAlign w:val="bottom"/>
            <w:tcBorders>
              <w:top w:val="single" w:sz="8" w:color="auto"/>
            </w:tcBorders>
          </w:tcPr>
          <w:p>
            <w:pPr>
              <w:spacing w:after="0" w:line="131" w:lineRule="exact"/>
              <w:rPr>
                <w:sz w:val="20"/>
                <w:szCs w:val="20"/>
                <w:color w:val="auto"/>
              </w:rPr>
            </w:pPr>
            <w:r>
              <w:rPr>
                <w:rFonts w:ascii="Times New Roman" w:cs="Times New Roman" w:eastAsia="Times New Roman" w:hAnsi="Times New Roman"/>
                <w:sz w:val="14"/>
                <w:szCs w:val="14"/>
                <w:color w:val="auto"/>
              </w:rPr>
              <w:t>August 13, 2028</w:t>
            </w:r>
          </w:p>
        </w:tc>
        <w:tc>
          <w:tcPr>
            <w:tcW w:w="0" w:type="dxa"/>
            <w:vAlign w:val="bottom"/>
          </w:tcPr>
          <w:p>
            <w:pPr>
              <w:spacing w:after="0"/>
              <w:rPr>
                <w:sz w:val="1"/>
                <w:szCs w:val="1"/>
                <w:color w:val="auto"/>
              </w:rPr>
            </w:pPr>
          </w:p>
        </w:tc>
      </w:tr>
      <w:tr>
        <w:trPr>
          <w:trHeight w:val="163"/>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3.125% Guaranteed Notes due 2049</w:t>
            </w:r>
          </w:p>
        </w:tc>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7"/>
              </w:rPr>
              <w:t>15 bps</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May 7, 2049</w:t>
            </w:r>
          </w:p>
        </w:tc>
        <w:tc>
          <w:tcPr>
            <w:tcW w:w="0" w:type="dxa"/>
            <w:vAlign w:val="bottom"/>
          </w:tcPr>
          <w:p>
            <w:pPr>
              <w:spacing w:after="0"/>
              <w:rPr>
                <w:sz w:val="1"/>
                <w:szCs w:val="1"/>
                <w:color w:val="auto"/>
              </w:rPr>
            </w:pPr>
          </w:p>
        </w:tc>
      </w:tr>
      <w:tr>
        <w:trPr>
          <w:trHeight w:val="175"/>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3.000% Guaranteed Notes due 2051</w:t>
            </w:r>
          </w:p>
        </w:tc>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7"/>
              </w:rPr>
              <w:t>20 bps</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May 26, 2051</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480" w:right="439"/>
        <w:spacing w:after="0" w:line="316" w:lineRule="auto"/>
        <w:rPr>
          <w:sz w:val="20"/>
          <w:szCs w:val="20"/>
          <w:color w:val="auto"/>
        </w:rPr>
      </w:pPr>
      <w:r>
        <w:rPr>
          <w:rFonts w:ascii="Times New Roman" w:cs="Times New Roman" w:eastAsia="Times New Roman" w:hAnsi="Times New Roman"/>
          <w:sz w:val="12"/>
          <w:szCs w:val="12"/>
          <w:color w:val="auto"/>
        </w:rPr>
        <w:t>On or after the applicable Par Call Date, Shell Finance US has the right to redeem each series of the Exchange Notes listed in the table immediately above, in whole or in part, at any time and from time to time at a redemption price equal to 100% of the principal amount of the applicable series of the Exchange Notes to be redeemed, plus accrued and unpaid interest, if any, thereon to, but excluding, the applicable date of redemption.</w:t>
      </w:r>
    </w:p>
    <w:p>
      <w:pPr>
        <w:spacing w:after="0" w:line="104" w:lineRule="exact"/>
        <w:rPr>
          <w:sz w:val="20"/>
          <w:szCs w:val="20"/>
          <w:color w:val="auto"/>
        </w:rPr>
      </w:pPr>
    </w:p>
    <w:p>
      <w:pPr>
        <w:ind w:left="1480" w:right="91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Treasury Rate</w:t>
      </w:r>
      <w:r>
        <w:rPr>
          <w:rFonts w:ascii="Times New Roman" w:cs="Times New Roman" w:eastAsia="Times New Roman" w:hAnsi="Times New Roman"/>
          <w:sz w:val="14"/>
          <w:szCs w:val="14"/>
          <w:color w:val="auto"/>
        </w:rPr>
        <w:t>” means, with respect to any redemption date for any series of Exchange Notes listed in the table immediately above, the yield determined by us in accordance with the following two paragraphs.</w:t>
      </w:r>
    </w:p>
    <w:p>
      <w:pPr>
        <w:spacing w:after="0" w:line="132" w:lineRule="exact"/>
        <w:rPr>
          <w:sz w:val="20"/>
          <w:szCs w:val="20"/>
          <w:color w:val="auto"/>
        </w:rPr>
      </w:pPr>
    </w:p>
    <w:p>
      <w:pPr>
        <w:ind w:left="1480" w:right="439"/>
        <w:spacing w:after="0" w:line="248" w:lineRule="auto"/>
        <w:rPr>
          <w:sz w:val="20"/>
          <w:szCs w:val="20"/>
          <w:color w:val="auto"/>
        </w:rPr>
      </w:pPr>
      <w:r>
        <w:rPr>
          <w:rFonts w:ascii="Times New Roman" w:cs="Times New Roman" w:eastAsia="Times New Roman" w:hAnsi="Times New Roman"/>
          <w:sz w:val="14"/>
          <w:szCs w:val="14"/>
          <w:color w:val="auto"/>
        </w:rPr>
        <w:t>The Treasury Rate applicable to such redemption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4"/>
          <w:szCs w:val="14"/>
          <w:b w:val="1"/>
          <w:bCs w:val="1"/>
          <w:color w:val="auto"/>
        </w:rPr>
        <w:t>H.15</w:t>
      </w:r>
      <w:r>
        <w:rPr>
          <w:rFonts w:ascii="Times New Roman" w:cs="Times New Roman" w:eastAsia="Times New Roman" w:hAnsi="Times New Roman"/>
          <w:sz w:val="14"/>
          <w:szCs w:val="14"/>
          <w:color w:val="auto"/>
        </w:rPr>
        <w:t>”) under the caption “U.S. government securities—Treasury</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78"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right="379"/>
        <w:spacing w:after="0" w:line="246" w:lineRule="auto"/>
        <w:rPr>
          <w:sz w:val="20"/>
          <w:szCs w:val="20"/>
          <w:color w:val="auto"/>
        </w:rPr>
      </w:pPr>
      <w:r>
        <w:rPr>
          <w:rFonts w:ascii="Times New Roman" w:cs="Times New Roman" w:eastAsia="Times New Roman" w:hAnsi="Times New Roman"/>
          <w:sz w:val="14"/>
          <w:szCs w:val="14"/>
          <w:color w:val="auto"/>
        </w:rPr>
        <w:t>constant maturities—Nominal” (or any successor caption or heading) (“</w:t>
      </w:r>
      <w:r>
        <w:rPr>
          <w:rFonts w:ascii="Times New Roman" w:cs="Times New Roman" w:eastAsia="Times New Roman" w:hAnsi="Times New Roman"/>
          <w:sz w:val="14"/>
          <w:szCs w:val="14"/>
          <w:b w:val="1"/>
          <w:bCs w:val="1"/>
          <w:color w:val="auto"/>
        </w:rPr>
        <w:t>H.15 TCM</w:t>
      </w:r>
      <w:r>
        <w:rPr>
          <w:rFonts w:ascii="Times New Roman" w:cs="Times New Roman" w:eastAsia="Times New Roman" w:hAnsi="Times New Roman"/>
          <w:sz w:val="14"/>
          <w:szCs w:val="14"/>
          <w:color w:val="auto"/>
        </w:rPr>
        <w:t>”). In determining the applicable Treasury Rate, Shell Finance US shall select, as applicable: (1) the yield for the Treasury constant maturity on H.15 exactly equal to the period from the redemption date to the applicable Par Call Date (the “</w:t>
      </w:r>
      <w:r>
        <w:rPr>
          <w:rFonts w:ascii="Times New Roman" w:cs="Times New Roman" w:eastAsia="Times New Roman" w:hAnsi="Times New Roman"/>
          <w:sz w:val="14"/>
          <w:szCs w:val="14"/>
          <w:b w:val="1"/>
          <w:bCs w:val="1"/>
          <w:color w:val="auto"/>
        </w:rPr>
        <w:t>Remaining Life</w:t>
      </w:r>
      <w:r>
        <w:rPr>
          <w:rFonts w:ascii="Times New Roman" w:cs="Times New Roman" w:eastAsia="Times New Roman" w:hAnsi="Times New Roman"/>
          <w:sz w:val="14"/>
          <w:szCs w:val="14"/>
          <w:color w:val="auto"/>
        </w:rPr>
        <w:t>”); or (2) if there is no such Treasury constant maturity on H.15 exactly equal to the Remaining Life, the two yields —one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51" w:lineRule="exact"/>
        <w:rPr>
          <w:sz w:val="20"/>
          <w:szCs w:val="20"/>
          <w:color w:val="auto"/>
        </w:rPr>
      </w:pPr>
    </w:p>
    <w:p>
      <w:pPr>
        <w:ind w:left="1480" w:right="359"/>
        <w:spacing w:after="0" w:line="290" w:lineRule="auto"/>
        <w:rPr>
          <w:sz w:val="20"/>
          <w:szCs w:val="20"/>
          <w:color w:val="auto"/>
        </w:rPr>
      </w:pPr>
      <w:r>
        <w:rPr>
          <w:rFonts w:ascii="Times New Roman" w:cs="Times New Roman" w:eastAsia="Times New Roman" w:hAnsi="Times New Roman"/>
          <w:sz w:val="12"/>
          <w:szCs w:val="12"/>
          <w:color w:val="auto"/>
        </w:rPr>
        <w:t>If on the third business day preceding the redemption date H.15 TCM is no longer published, we shall calculate the Treasury Rate applicable to such redemption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Par Call Date, one with a maturity date preceding the Par Call Date and one with a maturity date following the applicable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88" w:lineRule="exact"/>
        <w:rPr>
          <w:sz w:val="20"/>
          <w:szCs w:val="20"/>
          <w:color w:val="auto"/>
        </w:rPr>
      </w:pPr>
    </w:p>
    <w:p>
      <w:pPr>
        <w:ind w:left="1480" w:right="439"/>
        <w:spacing w:after="0" w:line="253" w:lineRule="auto"/>
        <w:rPr>
          <w:sz w:val="20"/>
          <w:szCs w:val="20"/>
          <w:color w:val="auto"/>
        </w:rPr>
      </w:pPr>
      <w:r>
        <w:rPr>
          <w:rFonts w:ascii="Times New Roman" w:cs="Times New Roman" w:eastAsia="Times New Roman" w:hAnsi="Times New Roman"/>
          <w:sz w:val="14"/>
          <w:szCs w:val="14"/>
          <w:color w:val="auto"/>
        </w:rPr>
        <w:t>Our actions and determinations in determining the redemption price shall be conclusive and binding for all purposes, absent manifest error. We will notify the trustee of the redemption price promptly after the calculation thereof and the trustee shall have no duty to determine, or verify the calculation of, the redemption price.</w:t>
      </w:r>
    </w:p>
    <w:p>
      <w:pPr>
        <w:spacing w:after="0" w:line="144" w:lineRule="exact"/>
        <w:rPr>
          <w:sz w:val="20"/>
          <w:szCs w:val="20"/>
          <w:color w:val="auto"/>
        </w:rPr>
      </w:pPr>
    </w:p>
    <w:p>
      <w:pPr>
        <w:ind w:left="1480" w:right="559"/>
        <w:spacing w:after="0" w:line="264" w:lineRule="auto"/>
        <w:rPr>
          <w:sz w:val="20"/>
          <w:szCs w:val="20"/>
          <w:color w:val="auto"/>
        </w:rPr>
      </w:pPr>
      <w:r>
        <w:rPr>
          <w:rFonts w:ascii="Times New Roman" w:cs="Times New Roman" w:eastAsia="Times New Roman" w:hAnsi="Times New Roman"/>
          <w:sz w:val="14"/>
          <w:szCs w:val="14"/>
          <w:color w:val="auto"/>
        </w:rPr>
        <w:t>Notice of any redemption will be given at least 10 days but not more than 60 days before the redemption date to each holder of Exchange Notes to be redeemed, with a copy to the Trustee.</w:t>
      </w:r>
    </w:p>
    <w:p>
      <w:pPr>
        <w:spacing w:after="0" w:line="136" w:lineRule="exact"/>
        <w:rPr>
          <w:sz w:val="20"/>
          <w:szCs w:val="20"/>
          <w:color w:val="auto"/>
        </w:rPr>
      </w:pPr>
    </w:p>
    <w:p>
      <w:pPr>
        <w:ind w:left="1480" w:right="759"/>
        <w:spacing w:after="0" w:line="253" w:lineRule="auto"/>
        <w:rPr>
          <w:sz w:val="20"/>
          <w:szCs w:val="20"/>
          <w:color w:val="auto"/>
        </w:rPr>
      </w:pPr>
      <w:r>
        <w:rPr>
          <w:rFonts w:ascii="Times New Roman" w:cs="Times New Roman" w:eastAsia="Times New Roman" w:hAnsi="Times New Roman"/>
          <w:sz w:val="14"/>
          <w:szCs w:val="14"/>
          <w:color w:val="auto"/>
        </w:rPr>
        <w:t>For so long as the notes are held by DTC (or another depositary), the redemption of the notes shall be done in accordance with the policies and procedures of DTC (or such other depositary). Under current DTC policies and procedures, a partial redemption will be treated as a pro rata pass-through distribution of principal.</w:t>
      </w:r>
    </w:p>
    <w:p>
      <w:pPr>
        <w:spacing w:after="0" w:line="144" w:lineRule="exact"/>
        <w:rPr>
          <w:sz w:val="20"/>
          <w:szCs w:val="20"/>
          <w:color w:val="auto"/>
        </w:rPr>
      </w:pPr>
    </w:p>
    <w:p>
      <w:pPr>
        <w:ind w:left="1480" w:right="459"/>
        <w:spacing w:after="0" w:line="250" w:lineRule="auto"/>
        <w:rPr>
          <w:sz w:val="20"/>
          <w:szCs w:val="20"/>
          <w:color w:val="auto"/>
        </w:rPr>
      </w:pPr>
      <w:r>
        <w:rPr>
          <w:rFonts w:ascii="Times New Roman" w:cs="Times New Roman" w:eastAsia="Times New Roman" w:hAnsi="Times New Roman"/>
          <w:sz w:val="14"/>
          <w:szCs w:val="14"/>
          <w:color w:val="auto"/>
        </w:rPr>
        <w:t>Once notice of redemption is given to holders, Exchange Notes called for redemption shall, subject to the satisfaction of any applicable conditions, become due and payable on the applicable redemption date and at the applicable redemption price. Unless Shell Finance US defaults in payment of the applicable redemption price, and Shell defaults in payment under its Guarantee, on and after the applicable redemption date of Exchange Notes of a series, interest will cease to accrue on such notes or any portions thereof called for redemption.</w:t>
      </w:r>
    </w:p>
    <w:p>
      <w:pPr>
        <w:spacing w:after="0" w:line="1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Optional Tax Redemption</w:t>
      </w:r>
    </w:p>
    <w:p>
      <w:pPr>
        <w:spacing w:after="0" w:line="170" w:lineRule="exact"/>
        <w:rPr>
          <w:sz w:val="20"/>
          <w:szCs w:val="20"/>
          <w:color w:val="auto"/>
        </w:rPr>
      </w:pPr>
    </w:p>
    <w:p>
      <w:pPr>
        <w:ind w:left="1480" w:right="559"/>
        <w:spacing w:after="0" w:line="253" w:lineRule="auto"/>
        <w:rPr>
          <w:sz w:val="20"/>
          <w:szCs w:val="20"/>
          <w:color w:val="auto"/>
        </w:rPr>
      </w:pPr>
      <w:r>
        <w:rPr>
          <w:rFonts w:ascii="Times New Roman" w:cs="Times New Roman" w:eastAsia="Times New Roman" w:hAnsi="Times New Roman"/>
          <w:sz w:val="14"/>
          <w:szCs w:val="14"/>
          <w:color w:val="auto"/>
        </w:rPr>
        <w:t>We will have the option to redeem each series of the Exchange Notes in the two situations described below. The redemption price for the Exchange Notes will be equal to the principal amount of the applicable series of the Exchange Notes being redeemed plus accrued (but unpaid) interest and any additional amounts due on the</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78"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539"/>
        <w:spacing w:after="0" w:line="264" w:lineRule="auto"/>
        <w:rPr>
          <w:sz w:val="20"/>
          <w:szCs w:val="20"/>
          <w:color w:val="auto"/>
        </w:rPr>
      </w:pPr>
      <w:r>
        <w:rPr>
          <w:rFonts w:ascii="Times New Roman" w:cs="Times New Roman" w:eastAsia="Times New Roman" w:hAnsi="Times New Roman"/>
          <w:sz w:val="14"/>
          <w:szCs w:val="14"/>
          <w:color w:val="auto"/>
        </w:rPr>
        <w:t>applicable date fixed for redemption. Notice of any redemption will be given at least 10 days but not more than 60 days before the redemption date to each holder of Exchange Notes to be redeemed, with a copy to the Trustee.</w:t>
      </w:r>
    </w:p>
    <w:p>
      <w:pPr>
        <w:spacing w:after="0" w:line="136" w:lineRule="exact"/>
        <w:rPr>
          <w:sz w:val="20"/>
          <w:szCs w:val="20"/>
          <w:color w:val="auto"/>
        </w:rPr>
      </w:pPr>
    </w:p>
    <w:p>
      <w:pPr>
        <w:ind w:left="1480" w:right="559"/>
        <w:spacing w:after="0" w:line="264" w:lineRule="auto"/>
        <w:rPr>
          <w:sz w:val="20"/>
          <w:szCs w:val="20"/>
          <w:color w:val="auto"/>
        </w:rPr>
      </w:pPr>
      <w:r>
        <w:rPr>
          <w:rFonts w:ascii="Times New Roman" w:cs="Times New Roman" w:eastAsia="Times New Roman" w:hAnsi="Times New Roman"/>
          <w:sz w:val="14"/>
          <w:szCs w:val="14"/>
          <w:color w:val="auto"/>
        </w:rPr>
        <w:t>The first situation is where, as a result of a change in, execution of or amendment to any laws or treaties or the official application or interpretation of any laws or treaties, either:</w:t>
      </w:r>
    </w:p>
    <w:p>
      <w:pPr>
        <w:spacing w:after="0" w:line="156" w:lineRule="exact"/>
        <w:rPr>
          <w:sz w:val="20"/>
          <w:szCs w:val="20"/>
          <w:color w:val="auto"/>
        </w:rPr>
      </w:pPr>
    </w:p>
    <w:p>
      <w:pPr>
        <w:ind w:left="2220" w:hanging="331"/>
        <w:spacing w:after="0"/>
        <w:tabs>
          <w:tab w:leader="none" w:pos="2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Shell would be required to pay additional amounts as described herein under “—Payment of Additional Amounts”; or</w:t>
      </w:r>
    </w:p>
    <w:p>
      <w:pPr>
        <w:spacing w:after="0" w:line="185" w:lineRule="exact"/>
        <w:rPr>
          <w:rFonts w:ascii="Times New Roman" w:cs="Times New Roman" w:eastAsia="Times New Roman" w:hAnsi="Times New Roman"/>
          <w:sz w:val="14"/>
          <w:szCs w:val="14"/>
          <w:color w:val="auto"/>
        </w:rPr>
      </w:pPr>
    </w:p>
    <w:p>
      <w:pPr>
        <w:ind w:left="2220" w:right="779" w:hanging="331"/>
        <w:spacing w:after="0" w:line="264" w:lineRule="auto"/>
        <w:tabs>
          <w:tab w:leader="none" w:pos="2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Shell or any of its subsidiaries would have to deduct or withhold tax on any payment to the Issuer to enable it to make a payment of principal or interest on the Exchange Notes.</w:t>
      </w:r>
    </w:p>
    <w:p>
      <w:pPr>
        <w:spacing w:after="0" w:line="13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This applies only in the case of changes, executions or amendments that occur on or after November 3, 2025.</w:t>
      </w:r>
    </w:p>
    <w:p>
      <w:pPr>
        <w:spacing w:after="0" w:line="166" w:lineRule="exact"/>
        <w:rPr>
          <w:sz w:val="20"/>
          <w:szCs w:val="20"/>
          <w:color w:val="auto"/>
        </w:rPr>
      </w:pPr>
    </w:p>
    <w:p>
      <w:pPr>
        <w:ind w:left="1480" w:right="579"/>
        <w:spacing w:after="0" w:line="264" w:lineRule="auto"/>
        <w:rPr>
          <w:sz w:val="20"/>
          <w:szCs w:val="20"/>
          <w:color w:val="auto"/>
        </w:rPr>
      </w:pPr>
      <w:r>
        <w:rPr>
          <w:rFonts w:ascii="Times New Roman" w:cs="Times New Roman" w:eastAsia="Times New Roman" w:hAnsi="Times New Roman"/>
          <w:sz w:val="14"/>
          <w:szCs w:val="14"/>
          <w:color w:val="auto"/>
        </w:rPr>
        <w:t>We would not have the option to redeem in this case if we could have avoided the payment of additional amounts or the deduction or withholding by using reasonable measures available to us.</w:t>
      </w:r>
    </w:p>
    <w:p>
      <w:pPr>
        <w:spacing w:after="0" w:line="136" w:lineRule="exact"/>
        <w:rPr>
          <w:sz w:val="20"/>
          <w:szCs w:val="20"/>
          <w:color w:val="auto"/>
        </w:rPr>
      </w:pPr>
    </w:p>
    <w:p>
      <w:pPr>
        <w:ind w:left="1480" w:right="439"/>
        <w:spacing w:after="0" w:line="296" w:lineRule="auto"/>
        <w:rPr>
          <w:sz w:val="20"/>
          <w:szCs w:val="20"/>
          <w:color w:val="auto"/>
        </w:rPr>
      </w:pPr>
      <w:r>
        <w:rPr>
          <w:rFonts w:ascii="Times New Roman" w:cs="Times New Roman" w:eastAsia="Times New Roman" w:hAnsi="Times New Roman"/>
          <w:sz w:val="12"/>
          <w:szCs w:val="12"/>
          <w:color w:val="auto"/>
        </w:rPr>
        <w:t>The second situation is where a person assumes the obligations of Shell or Shell Finance US, as described herein under “—Consolidation, Merger and Sale of Assets” and “—Substitution of Shell Finance US as Issuer,” and is required to pay additional amounts. Other than in the case of a Voluntary Assumption (as defined below under “—Consolidation, Merger and Sale of Assets”), we would have the option to redeem the Exchange Notes even if we are required to pay additional amounts immediately after such assumption. In addition, in all the circumstances described above, including a Voluntary Assumption, we would have the option to redeem the Exchange Notes if we are required to pay additional amounts as a result of a change in, execution of or amendment to any laws or treaties or official application of any law or treaty that occurs after such assumption. Additionally, we would not be required to use reasonable measures to avoid the obligation to pay additional amounts in this situation.</w:t>
      </w:r>
    </w:p>
    <w:p>
      <w:pPr>
        <w:spacing w:after="0" w:line="28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Payment of Additional Amounts</w:t>
      </w:r>
    </w:p>
    <w:p>
      <w:pPr>
        <w:spacing w:after="0" w:line="170" w:lineRule="exact"/>
        <w:rPr>
          <w:sz w:val="20"/>
          <w:szCs w:val="20"/>
          <w:color w:val="auto"/>
        </w:rPr>
      </w:pPr>
    </w:p>
    <w:p>
      <w:pPr>
        <w:ind w:left="1480" w:right="359"/>
        <w:spacing w:after="0" w:line="248" w:lineRule="auto"/>
        <w:rPr>
          <w:sz w:val="20"/>
          <w:szCs w:val="20"/>
          <w:color w:val="auto"/>
        </w:rPr>
      </w:pPr>
      <w:r>
        <w:rPr>
          <w:rFonts w:ascii="Times New Roman" w:cs="Times New Roman" w:eastAsia="Times New Roman" w:hAnsi="Times New Roman"/>
          <w:sz w:val="14"/>
          <w:szCs w:val="14"/>
          <w:color w:val="auto"/>
        </w:rPr>
        <w:t>The government of any jurisdiction where Shell is resident may require Shell to withhold or deduct amounts from amounts to be paid under the Guarantees for taxes or any other governmental charges. If the jurisdiction requires a withholding or deduction of this type, Shell may be required to pay you an additional amount so that the net amount you receive will be the amount specified in the Exchange Note to which you are entitled. However, in order for you to be entitled to receive the additional amount, you must not be resident in the jurisdiction that requires the withholding or deduction. Shell will not have to pay additional amounts under any of the following circumstances (including any combination of the following):</w:t>
      </w:r>
    </w:p>
    <w:p>
      <w:pPr>
        <w:spacing w:after="0" w:line="168" w:lineRule="exact"/>
        <w:rPr>
          <w:sz w:val="20"/>
          <w:szCs w:val="20"/>
          <w:color w:val="auto"/>
        </w:rPr>
      </w:pPr>
    </w:p>
    <w:p>
      <w:pPr>
        <w:ind w:left="2220" w:hanging="331"/>
        <w:spacing w:after="0"/>
        <w:tabs>
          <w:tab w:leader="none" w:pos="2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government or any political subdivision of the U.S. government is the entity that is imposing the tax or governmental charge.</w:t>
      </w:r>
    </w:p>
    <w:p>
      <w:pPr>
        <w:spacing w:after="0" w:line="185" w:lineRule="exact"/>
        <w:rPr>
          <w:rFonts w:ascii="Times New Roman" w:cs="Times New Roman" w:eastAsia="Times New Roman" w:hAnsi="Times New Roman"/>
          <w:sz w:val="14"/>
          <w:szCs w:val="14"/>
          <w:color w:val="auto"/>
        </w:rPr>
      </w:pPr>
    </w:p>
    <w:p>
      <w:pPr>
        <w:ind w:left="2220" w:right="619" w:hanging="331"/>
        <w:spacing w:after="0" w:line="250" w:lineRule="auto"/>
        <w:tabs>
          <w:tab w:leader="none" w:pos="2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or governmental charge is imposed only because the holder, or a fiduciary, settlor, beneficiary or member or shareholder of, or possessor of a power over, the holder, if the holder is an estate, trust, partnership or corporation, was or is connected to the taxing jurisdiction, other than by merely holding the Exchange Note or Guarantee or receiving principal or interest in respect thereof. These connections include where the holder or related party:</w:t>
      </w:r>
    </w:p>
    <w:p>
      <w:pPr>
        <w:spacing w:after="0" w:line="165" w:lineRule="exact"/>
        <w:rPr>
          <w:rFonts w:ascii="Times New Roman" w:cs="Times New Roman" w:eastAsia="Times New Roman" w:hAnsi="Times New Roman"/>
          <w:sz w:val="14"/>
          <w:szCs w:val="14"/>
          <w:color w:val="auto"/>
        </w:rPr>
      </w:pPr>
    </w:p>
    <w:p>
      <w:pPr>
        <w:ind w:left="2560" w:hanging="252"/>
        <w:spacing w:after="0"/>
        <w:tabs>
          <w:tab w:leader="none" w:pos="2560" w:val="left"/>
        </w:tabs>
        <w:numPr>
          <w:ilvl w:val="1"/>
          <w:numId w:val="26"/>
        </w:numPr>
        <w:rPr>
          <w:rFonts w:ascii="Arial" w:cs="Arial" w:eastAsia="Arial" w:hAnsi="Arial"/>
          <w:sz w:val="10"/>
          <w:szCs w:val="10"/>
          <w:color w:val="auto"/>
        </w:rPr>
      </w:pPr>
      <w:r>
        <w:rPr>
          <w:rFonts w:ascii="Times New Roman" w:cs="Times New Roman" w:eastAsia="Times New Roman" w:hAnsi="Times New Roman"/>
          <w:sz w:val="14"/>
          <w:szCs w:val="14"/>
          <w:color w:val="auto"/>
        </w:rPr>
        <w:t>is or has been a citizen or resident of the jurisdiction;</w:t>
      </w:r>
    </w:p>
    <w:p>
      <w:pPr>
        <w:spacing w:after="0" w:line="185" w:lineRule="exact"/>
        <w:rPr>
          <w:rFonts w:ascii="Arial" w:cs="Arial" w:eastAsia="Arial" w:hAnsi="Arial"/>
          <w:sz w:val="10"/>
          <w:szCs w:val="10"/>
          <w:color w:val="auto"/>
        </w:rPr>
      </w:pPr>
    </w:p>
    <w:p>
      <w:pPr>
        <w:ind w:left="2560" w:hanging="252"/>
        <w:spacing w:after="0"/>
        <w:tabs>
          <w:tab w:leader="none" w:pos="2560" w:val="left"/>
        </w:tabs>
        <w:numPr>
          <w:ilvl w:val="1"/>
          <w:numId w:val="26"/>
        </w:numPr>
        <w:rPr>
          <w:rFonts w:ascii="Arial" w:cs="Arial" w:eastAsia="Arial" w:hAnsi="Arial"/>
          <w:sz w:val="10"/>
          <w:szCs w:val="10"/>
          <w:color w:val="auto"/>
        </w:rPr>
      </w:pPr>
      <w:r>
        <w:rPr>
          <w:rFonts w:ascii="Times New Roman" w:cs="Times New Roman" w:eastAsia="Times New Roman" w:hAnsi="Times New Roman"/>
          <w:sz w:val="14"/>
          <w:szCs w:val="14"/>
          <w:color w:val="auto"/>
        </w:rPr>
        <w:t>is or has been engaged in trade or business in the jurisdiction; or</w:t>
      </w:r>
    </w:p>
    <w:p>
      <w:pPr>
        <w:spacing w:after="0" w:line="185" w:lineRule="exact"/>
        <w:rPr>
          <w:rFonts w:ascii="Arial" w:cs="Arial" w:eastAsia="Arial" w:hAnsi="Arial"/>
          <w:sz w:val="10"/>
          <w:szCs w:val="10"/>
          <w:color w:val="auto"/>
        </w:rPr>
      </w:pPr>
    </w:p>
    <w:p>
      <w:pPr>
        <w:ind w:left="2560" w:hanging="252"/>
        <w:spacing w:after="0"/>
        <w:tabs>
          <w:tab w:leader="none" w:pos="2560" w:val="left"/>
        </w:tabs>
        <w:numPr>
          <w:ilvl w:val="1"/>
          <w:numId w:val="26"/>
        </w:numPr>
        <w:rPr>
          <w:rFonts w:ascii="Arial" w:cs="Arial" w:eastAsia="Arial" w:hAnsi="Arial"/>
          <w:sz w:val="10"/>
          <w:szCs w:val="10"/>
          <w:color w:val="auto"/>
        </w:rPr>
      </w:pPr>
      <w:r>
        <w:rPr>
          <w:rFonts w:ascii="Times New Roman" w:cs="Times New Roman" w:eastAsia="Times New Roman" w:hAnsi="Times New Roman"/>
          <w:sz w:val="14"/>
          <w:szCs w:val="14"/>
          <w:color w:val="auto"/>
        </w:rPr>
        <w:t>has or had a permanent establishment in the jurisdiction.</w:t>
      </w:r>
    </w:p>
    <w:p>
      <w:pPr>
        <w:spacing w:after="0" w:line="1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78"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359" w:hanging="331"/>
        <w:spacing w:after="0" w:line="246" w:lineRule="auto"/>
        <w:tabs>
          <w:tab w:leader="none" w:pos="2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is a fiduciary, partnership or other entity that is not the sole beneficial owner of the payment of the principal of, or any interest on, the Exchange Note, and the laws of the jurisdiction (or any political subdivision or taxing authority thereof or therein) require the payment to be included in the income of a beneficiary or settlor for tax purposes with respect to such fiduciary, a member of such partnership or other entity, or a beneficial owner who would not have been entitled to such additional amounts had such beneficiary, settlor, member or beneficial owner been the holder of such Exchange Notes. The amount of the additional payments otherwise payable to such fiduciary, partnership or other entity will be reduced in proportion to the interest that the ultimate beneficial owners described in the previous sentence own in such holder.</w:t>
      </w:r>
    </w:p>
    <w:p>
      <w:pPr>
        <w:spacing w:after="0" w:line="171" w:lineRule="exact"/>
        <w:rPr>
          <w:rFonts w:ascii="Times New Roman" w:cs="Times New Roman" w:eastAsia="Times New Roman" w:hAnsi="Times New Roman"/>
          <w:sz w:val="14"/>
          <w:szCs w:val="14"/>
          <w:color w:val="auto"/>
        </w:rPr>
      </w:pPr>
    </w:p>
    <w:p>
      <w:pPr>
        <w:ind w:left="2220" w:right="419" w:hanging="331"/>
        <w:spacing w:after="0" w:line="264" w:lineRule="auto"/>
        <w:tabs>
          <w:tab w:leader="none" w:pos="2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or governmental charge is imposed due to the presentation of an Exchange Note, if presentation is required, for payment on a date more than 30 days after the Exchange Note became due or after the payment was provided for.</w:t>
      </w:r>
    </w:p>
    <w:p>
      <w:pPr>
        <w:spacing w:after="0" w:line="155" w:lineRule="exact"/>
        <w:rPr>
          <w:rFonts w:ascii="Times New Roman" w:cs="Times New Roman" w:eastAsia="Times New Roman" w:hAnsi="Times New Roman"/>
          <w:sz w:val="14"/>
          <w:szCs w:val="14"/>
          <w:color w:val="auto"/>
        </w:rPr>
      </w:pPr>
    </w:p>
    <w:p>
      <w:pPr>
        <w:ind w:left="2220" w:right="879" w:hanging="331"/>
        <w:spacing w:after="0" w:line="264" w:lineRule="auto"/>
        <w:tabs>
          <w:tab w:leader="none" w:pos="2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or governmental charge is on account of an estate, inheritance, gift, sale, transfer, personal property or similar tax or other governmental charge.</w:t>
      </w:r>
    </w:p>
    <w:p>
      <w:pPr>
        <w:spacing w:after="0" w:line="15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or governmental charge is for a tax or governmental charge that is payable in a manner that does not involve withholdings.</w:t>
      </w:r>
    </w:p>
    <w:p>
      <w:pPr>
        <w:spacing w:after="0" w:line="185" w:lineRule="exact"/>
        <w:rPr>
          <w:rFonts w:ascii="Times New Roman" w:cs="Times New Roman" w:eastAsia="Times New Roman" w:hAnsi="Times New Roman"/>
          <w:sz w:val="14"/>
          <w:szCs w:val="14"/>
          <w:color w:val="auto"/>
        </w:rPr>
      </w:pPr>
    </w:p>
    <w:p>
      <w:pPr>
        <w:ind w:left="2220" w:right="719" w:hanging="331"/>
        <w:spacing w:after="0" w:line="250" w:lineRule="auto"/>
        <w:tabs>
          <w:tab w:leader="none" w:pos="2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or governmental charge is imposed or withheld because the holder or beneficial owner failed to make a declaration (of non-residence or other similar claim for exemption) or satisfy any information requirements that the statutes, treaties, regulations or administrative practices of the taxing jurisdiction require as a precondition to exemption from all or part of such tax or governmental charge.</w:t>
      </w:r>
    </w:p>
    <w:p>
      <w:pPr>
        <w:spacing w:after="0" w:line="165" w:lineRule="exact"/>
        <w:rPr>
          <w:rFonts w:ascii="Times New Roman" w:cs="Times New Roman" w:eastAsia="Times New Roman" w:hAnsi="Times New Roman"/>
          <w:sz w:val="14"/>
          <w:szCs w:val="14"/>
          <w:color w:val="auto"/>
        </w:rPr>
      </w:pPr>
    </w:p>
    <w:p>
      <w:pPr>
        <w:ind w:left="2220" w:right="459" w:hanging="331"/>
        <w:spacing w:after="0" w:line="264" w:lineRule="auto"/>
        <w:tabs>
          <w:tab w:leader="none" w:pos="2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or governmental charge is imposed or withheld because the holder or beneficial owner failed to comply with any request by Shell to provide information about the nationality, residence or identity of the holder or beneficial owner.</w:t>
      </w:r>
    </w:p>
    <w:p>
      <w:pPr>
        <w:spacing w:after="0" w:line="155" w:lineRule="exact"/>
        <w:rPr>
          <w:rFonts w:ascii="Times New Roman" w:cs="Times New Roman" w:eastAsia="Times New Roman" w:hAnsi="Times New Roman"/>
          <w:sz w:val="14"/>
          <w:szCs w:val="14"/>
          <w:color w:val="auto"/>
        </w:rPr>
      </w:pPr>
    </w:p>
    <w:p>
      <w:pPr>
        <w:ind w:left="2220" w:right="739" w:hanging="331"/>
        <w:spacing w:after="0" w:line="264" w:lineRule="auto"/>
        <w:tabs>
          <w:tab w:leader="none" w:pos="2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withholding or deduction is imposed on a payment to a holder or beneficial owner who could have avoided such withholding or deduction by presenting its Exchange Notes to another paying agent.</w:t>
      </w:r>
    </w:p>
    <w:p>
      <w:pPr>
        <w:spacing w:after="0" w:line="13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These provisions will also apply to any taxes or governmental charges imposed by any jurisdiction in which a successor to Shell is resident.</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170" w:lineRule="exact"/>
        <w:rPr>
          <w:sz w:val="20"/>
          <w:szCs w:val="20"/>
          <w:color w:val="auto"/>
        </w:rPr>
      </w:pPr>
    </w:p>
    <w:p>
      <w:pPr>
        <w:ind w:left="1480" w:right="359"/>
        <w:spacing w:after="0" w:line="247" w:lineRule="auto"/>
        <w:rPr>
          <w:sz w:val="20"/>
          <w:szCs w:val="20"/>
          <w:color w:val="auto"/>
        </w:rPr>
      </w:pPr>
      <w:r>
        <w:rPr>
          <w:rFonts w:ascii="Times New Roman" w:cs="Times New Roman" w:eastAsia="Times New Roman" w:hAnsi="Times New Roman"/>
          <w:sz w:val="14"/>
          <w:szCs w:val="14"/>
          <w:color w:val="auto"/>
        </w:rPr>
        <w:t>The Shell Finance US Indenture generally permits a consolidation, merger or similar transaction involving Shell or Shell Finance US. The Shell Finance US Indenture also permits Shell or Shell Finance US to transfer or dispose of all or substantially all of their assets. Each of Shell and Shell Finance US will agree, however, that it will not consolidate with or merge into any entity (other than, with respect to Shell Finance US, Shell) or transfer or dispose of all or substantially all of its assets to any entity (other than, with respect to Shell Finance US, Shell) if, immediately after giving effect to such transaction or transactions, an event of default, or an event that, after notice or lapse of time or both, would become an event of default, has occurred and is continuing; and unless:</w:t>
      </w:r>
    </w:p>
    <w:p>
      <w:pPr>
        <w:spacing w:after="0" w:line="169" w:lineRule="exact"/>
        <w:rPr>
          <w:sz w:val="20"/>
          <w:szCs w:val="20"/>
          <w:color w:val="auto"/>
        </w:rPr>
      </w:pPr>
    </w:p>
    <w:p>
      <w:pPr>
        <w:ind w:left="2220" w:hanging="331"/>
        <w:spacing w:after="0"/>
        <w:tabs>
          <w:tab w:leader="none" w:pos="2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the continuing entity; or</w:t>
      </w:r>
    </w:p>
    <w:p>
      <w:pPr>
        <w:spacing w:after="0" w:line="185" w:lineRule="exact"/>
        <w:rPr>
          <w:rFonts w:ascii="Times New Roman" w:cs="Times New Roman" w:eastAsia="Times New Roman" w:hAnsi="Times New Roman"/>
          <w:sz w:val="14"/>
          <w:szCs w:val="14"/>
          <w:color w:val="auto"/>
        </w:rPr>
      </w:pPr>
    </w:p>
    <w:p>
      <w:pPr>
        <w:ind w:left="2220" w:right="459" w:hanging="331"/>
        <w:spacing w:after="0" w:line="250" w:lineRule="auto"/>
        <w:tabs>
          <w:tab w:leader="none" w:pos="2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it is not the continuing entity, (i) the resulting entity or transferee assumes the performance of its covenants and obligations under the Shell Finance US Indenture and, in the case of Shell Finance US, the due and punctual payments on the Exchange Notes or, in the case of Shell, the performance of the related Guarantees and (ii)(x) in the case of Shell, the resulting entity or transferee shall be an entity organized and existing under the laws of the U.S. or England and Wales, or the country in which it is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78"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379"/>
        <w:spacing w:after="0" w:line="245" w:lineRule="auto"/>
        <w:rPr>
          <w:sz w:val="20"/>
          <w:szCs w:val="20"/>
          <w:color w:val="auto"/>
        </w:rPr>
      </w:pPr>
      <w:r>
        <w:rPr>
          <w:rFonts w:ascii="Times New Roman" w:cs="Times New Roman" w:eastAsia="Times New Roman" w:hAnsi="Times New Roman"/>
          <w:sz w:val="14"/>
          <w:szCs w:val="14"/>
          <w:color w:val="auto"/>
        </w:rPr>
        <w:t>organized shall be a member of the Organization for Economic Cooperation and Development (or any successor); or if the resulting entity or transferee is not an entity organized and existing under the laws of the U.S. or England and Wales, the resulting entity or transferee shall agree in a supplemental indenture to be bound by a covenant comparable to that described under “—Payment of Additional Amounts” above with respect to taxes imposed in its jurisdiction of residence, or (y) in the case of Shell Finance US, the resulting entity or transferee shall be a U.S. entity or if the resulting entity or transferee is not a U.S. entity, the resulting entity or transferee shall agree in a supplemental indenture to be bound by a covenant comparable to that described under “—Payment of Additional Amounts” above with respect to taxes imposed in its jurisdiction of residence. If a successor to Shell or Shell Finance US is required to agree in a supplemental indenture to be bound by a covenant comparable to that described under “—Payment of Additional Amounts” with respect to taxes imposed in its jurisdiction of residence as described above, such successor shall be entitled to a redemption option comparable to that described under “—Redemption—Optional Tax Redemption.”</w:t>
      </w:r>
    </w:p>
    <w:p>
      <w:pPr>
        <w:spacing w:after="0" w:line="152" w:lineRule="exact"/>
        <w:rPr>
          <w:sz w:val="20"/>
          <w:szCs w:val="20"/>
          <w:color w:val="auto"/>
        </w:rPr>
      </w:pPr>
    </w:p>
    <w:p>
      <w:pPr>
        <w:ind w:left="1480" w:right="519"/>
        <w:spacing w:after="0" w:line="248" w:lineRule="auto"/>
        <w:rPr>
          <w:sz w:val="20"/>
          <w:szCs w:val="20"/>
          <w:color w:val="auto"/>
        </w:rPr>
      </w:pPr>
      <w:r>
        <w:rPr>
          <w:rFonts w:ascii="Times New Roman" w:cs="Times New Roman" w:eastAsia="Times New Roman" w:hAnsi="Times New Roman"/>
          <w:sz w:val="14"/>
          <w:szCs w:val="14"/>
          <w:color w:val="auto"/>
        </w:rPr>
        <w:t>Additionally, in the event that any entity shall become the owner of 100% of the voting stock of Shell, such entity may, but is not obligated to, assume the performance of Shell’s covenants and obligations under the Shell Finance US Indenture as Guarantor for the Exchange Notes (a “</w:t>
      </w:r>
      <w:r>
        <w:rPr>
          <w:rFonts w:ascii="Times New Roman" w:cs="Times New Roman" w:eastAsia="Times New Roman" w:hAnsi="Times New Roman"/>
          <w:sz w:val="14"/>
          <w:szCs w:val="14"/>
          <w:b w:val="1"/>
          <w:bCs w:val="1"/>
          <w:color w:val="auto"/>
        </w:rPr>
        <w:t>Voluntary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Assumption</w:t>
      </w:r>
      <w:r>
        <w:rPr>
          <w:rFonts w:ascii="Times New Roman" w:cs="Times New Roman" w:eastAsia="Times New Roman" w:hAnsi="Times New Roman"/>
          <w:sz w:val="14"/>
          <w:szCs w:val="14"/>
          <w:color w:val="auto"/>
        </w:rPr>
        <w:t>”). See “Risk Factors—Risks Relating to the Exchange Notes—The substitution of the obligor on a particular series of Exchange Notes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generally would cause you to realize taxable gain or loss for U.S. tax purposes, if any, on any such Exchange Notes that you hold” for discussion of possible tax consequences.</w:t>
      </w:r>
    </w:p>
    <w:p>
      <w:pPr>
        <w:spacing w:after="0" w:line="148" w:lineRule="exact"/>
        <w:rPr>
          <w:sz w:val="20"/>
          <w:szCs w:val="20"/>
          <w:color w:val="auto"/>
        </w:rPr>
      </w:pPr>
    </w:p>
    <w:p>
      <w:pPr>
        <w:ind w:left="1480" w:right="479"/>
        <w:spacing w:after="0" w:line="250" w:lineRule="auto"/>
        <w:rPr>
          <w:sz w:val="20"/>
          <w:szCs w:val="20"/>
          <w:color w:val="auto"/>
        </w:rPr>
      </w:pPr>
      <w:r>
        <w:rPr>
          <w:rFonts w:ascii="Times New Roman" w:cs="Times New Roman" w:eastAsia="Times New Roman" w:hAnsi="Times New Roman"/>
          <w:sz w:val="14"/>
          <w:szCs w:val="14"/>
          <w:color w:val="auto"/>
        </w:rPr>
        <w:t>Upon any such consolidation, merger or similar transaction or asset transfer or disposition involving Shell or Shell Finance US, or any such Voluntary Assumption, the resulting entity, transferee or assuming entity, as applicable, will be substituted for Shell or Shell Finance US, as applicable, under the Shell Finance US Indenture and the Exchange Notes, and Shell or Shell Finance US, as applicable, will thereupon be released from the Shell Finance US Indenture.</w:t>
      </w:r>
    </w:p>
    <w:p>
      <w:pPr>
        <w:spacing w:after="0" w:line="1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following are events of default with respect to any series of Exchange Notes:</w:t>
      </w:r>
    </w:p>
    <w:p>
      <w:pPr>
        <w:spacing w:after="0" w:line="186" w:lineRule="exact"/>
        <w:rPr>
          <w:sz w:val="20"/>
          <w:szCs w:val="20"/>
          <w:color w:val="auto"/>
        </w:rPr>
      </w:pPr>
    </w:p>
    <w:p>
      <w:pPr>
        <w:ind w:left="2220" w:hanging="331"/>
        <w:spacing w:after="0"/>
        <w:tabs>
          <w:tab w:leader="none" w:pos="22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interest or any additional amounts on that series of Exchange Notes for 30 days when due;</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principal of or any premium on that series of Exchange Notes for 14 days when due;</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redeem Exchange Notes of that series for 14 days when required;</w:t>
      </w:r>
    </w:p>
    <w:p>
      <w:pPr>
        <w:spacing w:after="0" w:line="185" w:lineRule="exact"/>
        <w:rPr>
          <w:rFonts w:ascii="Times New Roman" w:cs="Times New Roman" w:eastAsia="Times New Roman" w:hAnsi="Times New Roman"/>
          <w:sz w:val="14"/>
          <w:szCs w:val="14"/>
          <w:color w:val="auto"/>
        </w:rPr>
      </w:pPr>
    </w:p>
    <w:p>
      <w:pPr>
        <w:jc w:val="both"/>
        <w:ind w:left="2220" w:right="399" w:hanging="331"/>
        <w:spacing w:after="0" w:line="253" w:lineRule="auto"/>
        <w:tabs>
          <w:tab w:leader="none" w:pos="22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any covenant or agreement in that series of Exchange Notes for 90 days after written notice by the Trustee or by the holders of at least 25% in principal amount of the outstanding debt securities issued under the Shell Finance US Indenture that are affected by that failure; and</w:t>
      </w:r>
    </w:p>
    <w:p>
      <w:pPr>
        <w:spacing w:after="0" w:line="164"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specified events involving bankruptcy, insolvency or reorganization of Shell or Shell Finance US.</w:t>
      </w:r>
    </w:p>
    <w:p>
      <w:pPr>
        <w:spacing w:after="0" w:line="166" w:lineRule="exact"/>
        <w:rPr>
          <w:sz w:val="20"/>
          <w:szCs w:val="20"/>
          <w:color w:val="auto"/>
        </w:rPr>
      </w:pPr>
    </w:p>
    <w:p>
      <w:pPr>
        <w:ind w:left="1480" w:right="499"/>
        <w:spacing w:after="0" w:line="264" w:lineRule="auto"/>
        <w:rPr>
          <w:sz w:val="20"/>
          <w:szCs w:val="20"/>
          <w:color w:val="auto"/>
        </w:rPr>
      </w:pPr>
      <w:r>
        <w:rPr>
          <w:rFonts w:ascii="Times New Roman" w:cs="Times New Roman" w:eastAsia="Times New Roman" w:hAnsi="Times New Roman"/>
          <w:sz w:val="14"/>
          <w:szCs w:val="14"/>
          <w:color w:val="auto"/>
        </w:rPr>
        <w:t>A default under one series of Exchange Notes or any other agreement to which Shell or Shell Finance US is a party will not be a default under another series of Exchange Notes.</w:t>
      </w:r>
    </w:p>
    <w:p>
      <w:pPr>
        <w:spacing w:after="0" w:line="136" w:lineRule="exact"/>
        <w:rPr>
          <w:sz w:val="20"/>
          <w:szCs w:val="20"/>
          <w:color w:val="auto"/>
        </w:rPr>
      </w:pPr>
    </w:p>
    <w:p>
      <w:pPr>
        <w:ind w:left="1480" w:right="439"/>
        <w:spacing w:after="0" w:line="250" w:lineRule="auto"/>
        <w:rPr>
          <w:sz w:val="20"/>
          <w:szCs w:val="20"/>
          <w:color w:val="auto"/>
        </w:rPr>
      </w:pPr>
      <w:r>
        <w:rPr>
          <w:rFonts w:ascii="Times New Roman" w:cs="Times New Roman" w:eastAsia="Times New Roman" w:hAnsi="Times New Roman"/>
          <w:sz w:val="14"/>
          <w:szCs w:val="14"/>
          <w:color w:val="auto"/>
        </w:rPr>
        <w:t>If an event of default for any series of Exchange Notes occurs and is continuing, the Trustee or the holders of at least 25% in principal amount of the outstanding Exchange Notes of the series affected by the default may declare the principal of and all accrued and unpaid interest on those Exchange Notes to be due and payable. The holders of a majority in principal amount of the outstanding Exchange Notes of the series affected by the default may in some cases rescind this accelerated payment requirement.</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78"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A holder of an Exchange Note of any series may pursue any remedy under the Shell Finance US Indenture only if:</w:t>
      </w:r>
    </w:p>
    <w:p>
      <w:pPr>
        <w:spacing w:after="0" w:line="186" w:lineRule="exact"/>
        <w:rPr>
          <w:sz w:val="20"/>
          <w:szCs w:val="20"/>
          <w:color w:val="auto"/>
        </w:rPr>
      </w:pPr>
    </w:p>
    <w:p>
      <w:pPr>
        <w:ind w:left="2220" w:hanging="331"/>
        <w:spacing w:after="0"/>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gives the Trustee written notice of a continuing event of default for that series;</w:t>
      </w:r>
    </w:p>
    <w:p>
      <w:pPr>
        <w:spacing w:after="0" w:line="185" w:lineRule="exact"/>
        <w:rPr>
          <w:rFonts w:ascii="Times New Roman" w:cs="Times New Roman" w:eastAsia="Times New Roman" w:hAnsi="Times New Roman"/>
          <w:sz w:val="14"/>
          <w:szCs w:val="14"/>
          <w:color w:val="auto"/>
        </w:rPr>
      </w:pPr>
    </w:p>
    <w:p>
      <w:pPr>
        <w:ind w:left="2220" w:right="539" w:hanging="331"/>
        <w:spacing w:after="0" w:line="264" w:lineRule="auto"/>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principal amount of the outstanding Exchange Notes of that series make a written request to the Trustee to pursue the remedy;</w:t>
      </w:r>
    </w:p>
    <w:p>
      <w:pPr>
        <w:spacing w:after="0" w:line="15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offer to the Trustee indemnity satisfactory to the Trustee;</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fails to act for a period of 60 days after receipt of the request and offer of indemnity; and</w:t>
      </w:r>
    </w:p>
    <w:p>
      <w:pPr>
        <w:spacing w:after="0" w:line="185" w:lineRule="exact"/>
        <w:rPr>
          <w:rFonts w:ascii="Times New Roman" w:cs="Times New Roman" w:eastAsia="Times New Roman" w:hAnsi="Times New Roman"/>
          <w:sz w:val="14"/>
          <w:szCs w:val="14"/>
          <w:color w:val="auto"/>
        </w:rPr>
      </w:pPr>
    </w:p>
    <w:p>
      <w:pPr>
        <w:ind w:left="2220" w:right="719" w:hanging="331"/>
        <w:spacing w:after="0" w:line="264" w:lineRule="auto"/>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that 60-day period, the holders of a majority in principal amount of the Exchange Notes of that series do not give the trustee a direction inconsistent with the request.</w:t>
      </w:r>
    </w:p>
    <w:p>
      <w:pPr>
        <w:spacing w:after="0" w:line="13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This provision does not, however, affect the right of a holder of Exchange Notes to sue for enforcement of any overdue payment.</w:t>
      </w:r>
    </w:p>
    <w:p>
      <w:pPr>
        <w:spacing w:after="0" w:line="166" w:lineRule="exact"/>
        <w:rPr>
          <w:sz w:val="20"/>
          <w:szCs w:val="20"/>
          <w:color w:val="auto"/>
        </w:rPr>
      </w:pPr>
    </w:p>
    <w:p>
      <w:pPr>
        <w:ind w:left="1480" w:right="879"/>
        <w:spacing w:after="0" w:line="264" w:lineRule="auto"/>
        <w:rPr>
          <w:sz w:val="20"/>
          <w:szCs w:val="20"/>
          <w:color w:val="auto"/>
        </w:rPr>
      </w:pPr>
      <w:r>
        <w:rPr>
          <w:rFonts w:ascii="Times New Roman" w:cs="Times New Roman" w:eastAsia="Times New Roman" w:hAnsi="Times New Roman"/>
          <w:sz w:val="14"/>
          <w:szCs w:val="14"/>
          <w:color w:val="auto"/>
        </w:rPr>
        <w:t>In most cases, holders of a majority in principal amount of the outstanding Exchange Notes of a series (or of all debt securities issued under the applicable indenture that are affected, voting as one class) may direct the time, method and place of:</w:t>
      </w:r>
    </w:p>
    <w:p>
      <w:pPr>
        <w:spacing w:after="0" w:line="156" w:lineRule="exact"/>
        <w:rPr>
          <w:sz w:val="20"/>
          <w:szCs w:val="20"/>
          <w:color w:val="auto"/>
        </w:rPr>
      </w:pPr>
    </w:p>
    <w:p>
      <w:pPr>
        <w:ind w:left="2220" w:hanging="331"/>
        <w:spacing w:after="0"/>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any proceeding for any remedy available to the Trustee; and</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exercising any trust or power conferred on the Trustee relating to or arising as a result of an event of default.</w:t>
      </w:r>
    </w:p>
    <w:p>
      <w:pPr>
        <w:spacing w:after="0" w:line="166" w:lineRule="exact"/>
        <w:rPr>
          <w:sz w:val="20"/>
          <w:szCs w:val="20"/>
          <w:color w:val="auto"/>
        </w:rPr>
      </w:pPr>
    </w:p>
    <w:p>
      <w:pPr>
        <w:ind w:left="1480" w:right="419"/>
        <w:spacing w:after="0" w:line="264" w:lineRule="auto"/>
        <w:rPr>
          <w:sz w:val="20"/>
          <w:szCs w:val="20"/>
          <w:color w:val="auto"/>
        </w:rPr>
      </w:pPr>
      <w:r>
        <w:rPr>
          <w:rFonts w:ascii="Times New Roman" w:cs="Times New Roman" w:eastAsia="Times New Roman" w:hAnsi="Times New Roman"/>
          <w:sz w:val="14"/>
          <w:szCs w:val="14"/>
          <w:color w:val="auto"/>
        </w:rPr>
        <w:t>The Shell Finance US Indenture requires Shell Finance US to file each year with the Trustee a written statement as to its compliance with the covenants contained therein.</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170" w:lineRule="exact"/>
        <w:rPr>
          <w:sz w:val="20"/>
          <w:szCs w:val="20"/>
          <w:color w:val="auto"/>
        </w:rPr>
      </w:pPr>
    </w:p>
    <w:p>
      <w:pPr>
        <w:jc w:val="both"/>
        <w:ind w:left="1480" w:right="439"/>
        <w:spacing w:after="0" w:line="253" w:lineRule="auto"/>
        <w:rPr>
          <w:sz w:val="20"/>
          <w:szCs w:val="20"/>
          <w:color w:val="auto"/>
        </w:rPr>
      </w:pPr>
      <w:r>
        <w:rPr>
          <w:rFonts w:ascii="Times New Roman" w:cs="Times New Roman" w:eastAsia="Times New Roman" w:hAnsi="Times New Roman"/>
          <w:sz w:val="14"/>
          <w:szCs w:val="14"/>
          <w:color w:val="auto"/>
        </w:rPr>
        <w:t>The Shell Finance US Indenture may be amended or supplemented if the holders of a majority in principal amount of the outstanding debt securities of all series issued under the Shell Finance US Indenture that are affected by the amendment or supplement (acting as one class) consent to it. Without the consent of the holder of each Exchange Note affected, however, no modification may:</w:t>
      </w:r>
    </w:p>
    <w:p>
      <w:pPr>
        <w:spacing w:after="0" w:line="164" w:lineRule="exact"/>
        <w:rPr>
          <w:sz w:val="20"/>
          <w:szCs w:val="20"/>
          <w:color w:val="auto"/>
        </w:rPr>
      </w:pPr>
    </w:p>
    <w:p>
      <w:pPr>
        <w:ind w:left="2220" w:hanging="331"/>
        <w:spacing w:after="0"/>
        <w:tabs>
          <w:tab w:leader="none" w:pos="2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debt securities whose holders must consent to an amendment, supplement or waiver;</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change the time for payment of interest, including default interest, on the Exchange Notes;</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the Exchange Notes or change their stated maturity;</w:t>
      </w:r>
    </w:p>
    <w:p>
      <w:pPr>
        <w:spacing w:after="0" w:line="185" w:lineRule="exact"/>
        <w:rPr>
          <w:rFonts w:ascii="Times New Roman" w:cs="Times New Roman" w:eastAsia="Times New Roman" w:hAnsi="Times New Roman"/>
          <w:sz w:val="14"/>
          <w:szCs w:val="14"/>
          <w:color w:val="auto"/>
        </w:rPr>
      </w:pPr>
    </w:p>
    <w:p>
      <w:pPr>
        <w:ind w:left="2220" w:right="399" w:hanging="331"/>
        <w:spacing w:after="0" w:line="264" w:lineRule="auto"/>
        <w:tabs>
          <w:tab w:leader="none" w:pos="2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any premium payable upon the redemption of the Exchange Notes or change the time at which the Exchange Notes may or must be redeemed;</w:t>
      </w:r>
    </w:p>
    <w:p>
      <w:pPr>
        <w:spacing w:after="0" w:line="15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any obligation to pay additional amounts on the Exchange Notes;</w:t>
      </w:r>
    </w:p>
    <w:p>
      <w:pPr>
        <w:spacing w:after="0" w:line="185" w:lineRule="exact"/>
        <w:rPr>
          <w:rFonts w:ascii="Times New Roman" w:cs="Times New Roman" w:eastAsia="Times New Roman" w:hAnsi="Times New Roman"/>
          <w:sz w:val="14"/>
          <w:szCs w:val="14"/>
          <w:color w:val="auto"/>
        </w:rPr>
      </w:pPr>
    </w:p>
    <w:p>
      <w:pPr>
        <w:ind w:left="2220" w:right="699" w:hanging="331"/>
        <w:spacing w:after="0" w:line="264" w:lineRule="auto"/>
        <w:tabs>
          <w:tab w:leader="none" w:pos="2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coin or currency or currencies (including composite currencies) in which the Exchange Notes, or any premium, interest or additional amounts on the Exchange Notes with respect thereto, are payable;</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78"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659" w:hanging="331"/>
        <w:spacing w:after="0" w:line="264" w:lineRule="auto"/>
        <w:tabs>
          <w:tab w:leader="none" w:pos="2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holder’s right to institute suit for the enforcement of any payment of the principal of, premium (if any) or interest on or any additional amounts on the Exchange Notes with respect to the Exchange Notes;</w:t>
      </w:r>
    </w:p>
    <w:p>
      <w:pPr>
        <w:spacing w:after="0" w:line="155" w:lineRule="exact"/>
        <w:rPr>
          <w:rFonts w:ascii="Times New Roman" w:cs="Times New Roman" w:eastAsia="Times New Roman" w:hAnsi="Times New Roman"/>
          <w:sz w:val="14"/>
          <w:szCs w:val="14"/>
          <w:color w:val="auto"/>
        </w:rPr>
      </w:pPr>
    </w:p>
    <w:p>
      <w:pPr>
        <w:ind w:left="2220" w:right="619" w:hanging="331"/>
        <w:spacing w:after="0" w:line="264" w:lineRule="auto"/>
        <w:tabs>
          <w:tab w:leader="none" w:pos="2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the percentage of principal amount of debt securities necessary to waive compliance with certain provisions of the Shell Finance US Indenture or to make any change in the provision related to modification; or</w:t>
      </w:r>
    </w:p>
    <w:p>
      <w:pPr>
        <w:spacing w:after="0" w:line="15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continuing default or event of default regarding any payment on or with respect to the Exchange Notes.</w:t>
      </w:r>
    </w:p>
    <w:p>
      <w:pPr>
        <w:spacing w:after="0" w:line="166" w:lineRule="exact"/>
        <w:rPr>
          <w:sz w:val="20"/>
          <w:szCs w:val="20"/>
          <w:color w:val="auto"/>
        </w:rPr>
      </w:pPr>
    </w:p>
    <w:p>
      <w:pPr>
        <w:ind w:left="1480" w:right="719"/>
        <w:spacing w:after="0" w:line="264" w:lineRule="auto"/>
        <w:rPr>
          <w:sz w:val="20"/>
          <w:szCs w:val="20"/>
          <w:color w:val="auto"/>
        </w:rPr>
      </w:pPr>
      <w:r>
        <w:rPr>
          <w:rFonts w:ascii="Times New Roman" w:cs="Times New Roman" w:eastAsia="Times New Roman" w:hAnsi="Times New Roman"/>
          <w:sz w:val="14"/>
          <w:szCs w:val="14"/>
          <w:color w:val="auto"/>
        </w:rPr>
        <w:t>The Shell Finance US Indenture may be amended or supplemented or any provision of the Shell Finance US Indenture may be waived without the consent of any holders of the Exchange Notes issued under the Shell Finance US Indenture in certain circumstances, including:</w:t>
      </w:r>
    </w:p>
    <w:p>
      <w:pPr>
        <w:spacing w:after="0" w:line="156" w:lineRule="exact"/>
        <w:rPr>
          <w:sz w:val="20"/>
          <w:szCs w:val="20"/>
          <w:color w:val="auto"/>
        </w:rPr>
      </w:pPr>
    </w:p>
    <w:p>
      <w:pPr>
        <w:ind w:left="2220" w:hanging="331"/>
        <w:spacing w:after="0"/>
        <w:tabs>
          <w:tab w:leader="none" w:pos="2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omission, defect or inconsistency;</w:t>
      </w:r>
    </w:p>
    <w:p>
      <w:pPr>
        <w:spacing w:after="0" w:line="185" w:lineRule="exact"/>
        <w:rPr>
          <w:rFonts w:ascii="Times New Roman" w:cs="Times New Roman" w:eastAsia="Times New Roman" w:hAnsi="Times New Roman"/>
          <w:sz w:val="14"/>
          <w:szCs w:val="14"/>
          <w:color w:val="auto"/>
        </w:rPr>
      </w:pPr>
    </w:p>
    <w:p>
      <w:pPr>
        <w:ind w:left="2220" w:right="439" w:hanging="331"/>
        <w:spacing w:after="0" w:line="253" w:lineRule="auto"/>
        <w:tabs>
          <w:tab w:leader="none" w:pos="2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sections of the Shell Finance US Indenture governing when Shell or Shell Finance US may merge (or consummate a similar transaction), transfer their assets or substitute obligors, including any assumption of the obligations of Shell Finance US under any series of debt securities by Shell or any other subsidiary of Shell or any Voluntary Assumption;</w:t>
      </w:r>
    </w:p>
    <w:p>
      <w:pPr>
        <w:spacing w:after="0" w:line="164" w:lineRule="exact"/>
        <w:rPr>
          <w:rFonts w:ascii="Times New Roman" w:cs="Times New Roman" w:eastAsia="Times New Roman" w:hAnsi="Times New Roman"/>
          <w:sz w:val="14"/>
          <w:szCs w:val="14"/>
          <w:color w:val="auto"/>
        </w:rPr>
      </w:pPr>
    </w:p>
    <w:p>
      <w:pPr>
        <w:ind w:left="2220" w:right="479" w:hanging="331"/>
        <w:spacing w:after="0" w:line="250" w:lineRule="auto"/>
        <w:tabs>
          <w:tab w:leader="none" w:pos="2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in addition to or in place of certificated debt securities; provided, however, that the uncertificated debt securities are issued in a registered form for purposes of Section 163(f) of the Code (as defined in “Material U.S. Federal Income Tax Considerations”) or in such a manner that such uncertificated debt securities are described in Section 163(f)(2)(B) of the Code;</w:t>
      </w:r>
    </w:p>
    <w:p>
      <w:pPr>
        <w:spacing w:after="0" w:line="16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any security for, any guarantees of or any additional obligors on any series of Exchange Notes or the related Guarantees;</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comply with any requirement to effect or maintain the qualification of the Shell Finance US Indenture under the Trust Indenture Act;</w:t>
      </w:r>
    </w:p>
    <w:p>
      <w:pPr>
        <w:spacing w:after="0" w:line="208" w:lineRule="exact"/>
        <w:rPr>
          <w:rFonts w:ascii="Times New Roman" w:cs="Times New Roman" w:eastAsia="Times New Roman" w:hAnsi="Times New Roman"/>
          <w:sz w:val="12"/>
          <w:szCs w:val="12"/>
          <w:color w:val="auto"/>
        </w:rPr>
      </w:pPr>
    </w:p>
    <w:p>
      <w:pPr>
        <w:ind w:left="2220" w:right="419" w:hanging="331"/>
        <w:spacing w:after="0" w:line="253" w:lineRule="auto"/>
        <w:tabs>
          <w:tab w:leader="none" w:pos="2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covenants of Shell Finance US or the guarantor, Shell, that would benefit the holders of any Exchange Notes or to surrender any rights Shell or Shell Finance US has under the Shell Finance US Indenture, or to surrender any right or power herein conferred upon Shell Finance US or the guarantor, Shell;</w:t>
      </w:r>
    </w:p>
    <w:p>
      <w:pPr>
        <w:spacing w:after="0" w:line="164"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events of default with respect to any of the Exchange Notes;</w:t>
      </w:r>
    </w:p>
    <w:p>
      <w:pPr>
        <w:spacing w:after="0" w:line="185" w:lineRule="exact"/>
        <w:rPr>
          <w:rFonts w:ascii="Times New Roman" w:cs="Times New Roman" w:eastAsia="Times New Roman" w:hAnsi="Times New Roman"/>
          <w:sz w:val="14"/>
          <w:szCs w:val="14"/>
          <w:color w:val="auto"/>
        </w:rPr>
      </w:pPr>
    </w:p>
    <w:p>
      <w:pPr>
        <w:ind w:left="2220" w:right="399" w:hanging="331"/>
        <w:spacing w:after="0" w:line="253" w:lineRule="auto"/>
        <w:tabs>
          <w:tab w:leader="none" w:pos="2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change or eliminate any of the provisions of the Shell Finance US Indenture; provided that any such change or elimination shall become effective only when there is no outstanding Exchange Notes of any series prior to the execution of such amendment or supplemental indenture that is adversely affected in any material respect by such change in or elimination of such provision;</w:t>
      </w:r>
    </w:p>
    <w:p>
      <w:pPr>
        <w:spacing w:after="0" w:line="164"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or terms of securities of any series as permitted by the Shell Finance US Indenture;</w:t>
      </w:r>
    </w:p>
    <w:p>
      <w:pPr>
        <w:spacing w:after="0" w:line="185" w:lineRule="exact"/>
        <w:rPr>
          <w:rFonts w:ascii="Times New Roman" w:cs="Times New Roman" w:eastAsia="Times New Roman" w:hAnsi="Times New Roman"/>
          <w:sz w:val="14"/>
          <w:szCs w:val="14"/>
          <w:color w:val="auto"/>
        </w:rPr>
      </w:pPr>
    </w:p>
    <w:p>
      <w:pPr>
        <w:ind w:left="2220" w:right="519" w:hanging="331"/>
        <w:spacing w:after="0" w:line="316" w:lineRule="auto"/>
        <w:tabs>
          <w:tab w:leader="none" w:pos="22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supplement any of the provisions of the Shell Finance US Indenture to such extent as shall be necessary to permit or facilitate the defeasance and discharge of any series of securities pursuant to the Shell Finance US Indenture; provided, however, that any such action shall not adversely affect the interest of the holders of securities of such series or any other series of securities in any material respect;</w:t>
      </w:r>
    </w:p>
    <w:p>
      <w:pPr>
        <w:spacing w:after="0" w:line="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78"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759" w:hanging="331"/>
        <w:spacing w:after="0" w:line="264" w:lineRule="auto"/>
        <w:tabs>
          <w:tab w:leader="none" w:pos="2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appointment of a successor trustee with respect of the securities of one or more series of the Exchange Notes or to provide for the administration of the trusts under the Shell Finance US Indenture by more than one trustee; and</w:t>
      </w:r>
    </w:p>
    <w:p>
      <w:pPr>
        <w:spacing w:after="0" w:line="155" w:lineRule="exact"/>
        <w:rPr>
          <w:rFonts w:ascii="Times New Roman" w:cs="Times New Roman" w:eastAsia="Times New Roman" w:hAnsi="Times New Roman"/>
          <w:sz w:val="14"/>
          <w:szCs w:val="14"/>
          <w:color w:val="auto"/>
        </w:rPr>
      </w:pPr>
    </w:p>
    <w:p>
      <w:pPr>
        <w:ind w:left="2220" w:right="599" w:hanging="331"/>
        <w:spacing w:after="0" w:line="264" w:lineRule="auto"/>
        <w:tabs>
          <w:tab w:leader="none" w:pos="2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holders of any outstanding debt securities of any series issued under the Shell Finance US Indenture.</w:t>
      </w:r>
    </w:p>
    <w:p>
      <w:pPr>
        <w:spacing w:after="0" w:line="136" w:lineRule="exact"/>
        <w:rPr>
          <w:sz w:val="20"/>
          <w:szCs w:val="20"/>
          <w:color w:val="auto"/>
        </w:rPr>
      </w:pPr>
    </w:p>
    <w:p>
      <w:pPr>
        <w:ind w:left="1480" w:right="459"/>
        <w:spacing w:after="0" w:line="250"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Exchange Notes of any series (or, in some cases, of all debt securities issued under the Shell Finance US Indenture that are affected, voting as one class) may waive any existing or past default or event of default with respect to those debt securities. Those holders may not, however, waive any default or event of default in any payment on any debt security or compliance with a provision that cannot be amended or supplemented without the consent of each holder affected.</w:t>
      </w:r>
    </w:p>
    <w:p>
      <w:pPr>
        <w:spacing w:after="0" w:line="1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Defeasance</w:t>
      </w:r>
    </w:p>
    <w:p>
      <w:pPr>
        <w:spacing w:after="0" w:line="166" w:lineRule="exact"/>
        <w:rPr>
          <w:sz w:val="20"/>
          <w:szCs w:val="20"/>
          <w:color w:val="auto"/>
        </w:rPr>
      </w:pPr>
    </w:p>
    <w:p>
      <w:pPr>
        <w:ind w:left="1480" w:right="439"/>
        <w:spacing w:after="0" w:line="252" w:lineRule="auto"/>
        <w:rPr>
          <w:sz w:val="20"/>
          <w:szCs w:val="20"/>
          <w:color w:val="auto"/>
        </w:rPr>
      </w:pPr>
      <w:r>
        <w:rPr>
          <w:rFonts w:ascii="Times New Roman" w:cs="Times New Roman" w:eastAsia="Times New Roman" w:hAnsi="Times New Roman"/>
          <w:sz w:val="14"/>
          <w:szCs w:val="14"/>
          <w:color w:val="auto"/>
        </w:rPr>
        <w:t>When we use the term “</w:t>
      </w:r>
      <w:r>
        <w:rPr>
          <w:rFonts w:ascii="Times New Roman" w:cs="Times New Roman" w:eastAsia="Times New Roman" w:hAnsi="Times New Roman"/>
          <w:sz w:val="14"/>
          <w:szCs w:val="14"/>
          <w:b w:val="1"/>
          <w:bCs w:val="1"/>
          <w:color w:val="auto"/>
        </w:rPr>
        <w:t>defeasance</w:t>
      </w:r>
      <w:r>
        <w:rPr>
          <w:rFonts w:ascii="Times New Roman" w:cs="Times New Roman" w:eastAsia="Times New Roman" w:hAnsi="Times New Roman"/>
          <w:sz w:val="14"/>
          <w:szCs w:val="14"/>
          <w:color w:val="auto"/>
        </w:rPr>
        <w:t>,” we mean discharge from some or all of our obligations under the Shell Finance US Indenture. If any combination of funds or government securities that are deposited with the Trustee under the Shell Finance US Indenture are sufficient, in the opinion of an independent firm of certified public accountants, to make payments on a series of Exchange Notes on the dates those payments are due and payable, then, at the option of Shell Finance US either of the following will occur:</w:t>
      </w:r>
    </w:p>
    <w:p>
      <w:pPr>
        <w:spacing w:after="0" w:line="165" w:lineRule="exact"/>
        <w:rPr>
          <w:sz w:val="20"/>
          <w:szCs w:val="20"/>
          <w:color w:val="auto"/>
        </w:rPr>
      </w:pPr>
    </w:p>
    <w:p>
      <w:pPr>
        <w:ind w:left="2220" w:right="879" w:hanging="331"/>
        <w:spacing w:after="0" w:line="264" w:lineRule="auto"/>
        <w:tabs>
          <w:tab w:leader="none" w:pos="2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Shell and Shell Finance US will be discharged from their obligations with respect to that series of Exchange Notes and the related Guarantees (“</w:t>
      </w:r>
      <w:r>
        <w:rPr>
          <w:rFonts w:ascii="Times New Roman" w:cs="Times New Roman" w:eastAsia="Times New Roman" w:hAnsi="Times New Roman"/>
          <w:sz w:val="14"/>
          <w:szCs w:val="14"/>
          <w:b w:val="1"/>
          <w:bCs w:val="1"/>
          <w:color w:val="auto"/>
        </w:rPr>
        <w:t>Legal Defeasance</w:t>
      </w:r>
      <w:r>
        <w:rPr>
          <w:rFonts w:ascii="Times New Roman" w:cs="Times New Roman" w:eastAsia="Times New Roman" w:hAnsi="Times New Roman"/>
          <w:sz w:val="14"/>
          <w:szCs w:val="14"/>
          <w:color w:val="auto"/>
        </w:rPr>
        <w:t>”); or</w:t>
      </w:r>
    </w:p>
    <w:p>
      <w:pPr>
        <w:spacing w:after="0" w:line="155" w:lineRule="exact"/>
        <w:rPr>
          <w:rFonts w:ascii="Times New Roman" w:cs="Times New Roman" w:eastAsia="Times New Roman" w:hAnsi="Times New Roman"/>
          <w:sz w:val="14"/>
          <w:szCs w:val="14"/>
          <w:color w:val="auto"/>
        </w:rPr>
      </w:pPr>
    </w:p>
    <w:p>
      <w:pPr>
        <w:ind w:left="2220" w:right="359" w:hanging="331"/>
        <w:spacing w:after="0" w:line="264" w:lineRule="auto"/>
        <w:tabs>
          <w:tab w:leader="none" w:pos="2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Shell and Shell Finance US will no longer have any obligation to comply with the merger covenant and other specified covenants under the Shell Finance US Indenture, and the related events of default will no longer apply (“</w:t>
      </w:r>
      <w:r>
        <w:rPr>
          <w:rFonts w:ascii="Times New Roman" w:cs="Times New Roman" w:eastAsia="Times New Roman" w:hAnsi="Times New Roman"/>
          <w:sz w:val="14"/>
          <w:szCs w:val="14"/>
          <w:b w:val="1"/>
          <w:bCs w:val="1"/>
          <w:color w:val="auto"/>
        </w:rPr>
        <w:t>Covenant Defeasance</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480" w:right="359"/>
        <w:spacing w:after="0" w:line="250" w:lineRule="auto"/>
        <w:rPr>
          <w:sz w:val="20"/>
          <w:szCs w:val="20"/>
          <w:color w:val="auto"/>
        </w:rPr>
      </w:pPr>
      <w:r>
        <w:rPr>
          <w:rFonts w:ascii="Times New Roman" w:cs="Times New Roman" w:eastAsia="Times New Roman" w:hAnsi="Times New Roman"/>
          <w:sz w:val="14"/>
          <w:szCs w:val="14"/>
          <w:color w:val="auto"/>
        </w:rPr>
        <w:t>If a series of Exchange Notes is defeased, the holders of the Exchange Notes of the series affected will not be entitled to the benefits of the Shell Finance US Indenture, except for obligations to register the transfer or exchange of Exchange Notes, replace stolen, lost or mutilated Exchange Notes or maintain paying agencies and hold moneys for payment in trust. In the case of Covenant Defeasance, the obligation of Shell Finance US to pay principal, premium and interest on the Exchange Notes and Shell guarantees of the payments will also survive.</w:t>
      </w:r>
    </w:p>
    <w:p>
      <w:pPr>
        <w:spacing w:after="0" w:line="145" w:lineRule="exact"/>
        <w:rPr>
          <w:sz w:val="20"/>
          <w:szCs w:val="20"/>
          <w:color w:val="auto"/>
        </w:rPr>
      </w:pPr>
    </w:p>
    <w:p>
      <w:pPr>
        <w:ind w:left="1480" w:right="419"/>
        <w:spacing w:after="0" w:line="250" w:lineRule="auto"/>
        <w:rPr>
          <w:sz w:val="20"/>
          <w:szCs w:val="20"/>
          <w:color w:val="auto"/>
        </w:rPr>
      </w:pPr>
      <w:r>
        <w:rPr>
          <w:rFonts w:ascii="Times New Roman" w:cs="Times New Roman" w:eastAsia="Times New Roman" w:hAnsi="Times New Roman"/>
          <w:sz w:val="14"/>
          <w:szCs w:val="14"/>
          <w:color w:val="auto"/>
        </w:rPr>
        <w:t>Unless such defeasance occurs within one year of when the relevant series of Exchange Notes would be due and payable or called for redemption, we will be required to deliver to the Trustee an opinion of counsel that the deposit and related defeasance would not cause the holders of the Exchange Notes to recognize income, gain or loss for U.S. federal income tax purposes. If we elect Legal Defeasance, that opinion of counsel must be based upon a ruling from the IRS or a change in law to that effect.</w:t>
      </w:r>
    </w:p>
    <w:p>
      <w:pPr>
        <w:spacing w:after="0" w:line="1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Substitution of Shell Finance US as Issuer</w:t>
      </w:r>
    </w:p>
    <w:p>
      <w:pPr>
        <w:spacing w:after="0" w:line="170" w:lineRule="exact"/>
        <w:rPr>
          <w:sz w:val="20"/>
          <w:szCs w:val="20"/>
          <w:color w:val="auto"/>
        </w:rPr>
      </w:pPr>
    </w:p>
    <w:p>
      <w:pPr>
        <w:ind w:left="1480" w:right="439"/>
        <w:spacing w:after="0" w:line="246" w:lineRule="auto"/>
        <w:rPr>
          <w:sz w:val="20"/>
          <w:szCs w:val="20"/>
          <w:color w:val="auto"/>
        </w:rPr>
      </w:pPr>
      <w:r>
        <w:rPr>
          <w:rFonts w:ascii="Times New Roman" w:cs="Times New Roman" w:eastAsia="Times New Roman" w:hAnsi="Times New Roman"/>
          <w:sz w:val="14"/>
          <w:szCs w:val="14"/>
          <w:color w:val="auto"/>
        </w:rPr>
        <w:t>We may at our option at any time, without the consent of any holders of Exchange Notes, cause Shell or any other subsidiary of Shell to assume the obligations of Shell Finance US under any series of the Exchange Notes; provided that the new obligor executes a supplemental indenture in which it agrees to be bound by the terms of those Exchange Notes and the Shell Finance US Indenture. To the extent that Shell is not itself the new obligor, its Guarantee shall remain in place after the substitution unless another entity assumes the role of a guarantor in respect of the Exchange Notes following a Voluntary Assumption. The new obligor must be a U.S. entity, unless the new obligor agrees in the supplemental indenture to be bound by a covenant comparable to that described under “—Payment of Additional Amounts” above with respect to taxes imposed in its jurisdiction of residence. The new obligor will benefit from any optional redemption provision for tax reasons as described above under “—Redemption—Optional Tax Redemption.” In the case of such a substitution, Shell Finance US will be</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78"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579"/>
        <w:spacing w:after="0" w:line="253" w:lineRule="auto"/>
        <w:rPr>
          <w:sz w:val="20"/>
          <w:szCs w:val="20"/>
          <w:color w:val="auto"/>
        </w:rPr>
      </w:pPr>
      <w:r>
        <w:rPr>
          <w:rFonts w:ascii="Times New Roman" w:cs="Times New Roman" w:eastAsia="Times New Roman" w:hAnsi="Times New Roman"/>
          <w:sz w:val="14"/>
          <w:szCs w:val="14"/>
          <w:color w:val="auto"/>
        </w:rPr>
        <w:t>relieved of any further obligations under the assumed series of Exchange Notes. See “Risk Factors—Risks Relating to the Exchange Notes—The substitution of the obligor on a particular series of Exchange Notes generally would cause you to realize taxable gain or loss for U.S. tax purposes, if any, on any such Exchange Notes that you hold” for discussion of possible tax consequences.</w:t>
      </w:r>
    </w:p>
    <w:p>
      <w:pPr>
        <w:spacing w:after="0" w:line="1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70" w:lineRule="exact"/>
        <w:rPr>
          <w:sz w:val="20"/>
          <w:szCs w:val="20"/>
          <w:color w:val="auto"/>
        </w:rPr>
      </w:pPr>
    </w:p>
    <w:p>
      <w:pPr>
        <w:ind w:left="1480" w:right="499"/>
        <w:spacing w:after="0" w:line="264" w:lineRule="auto"/>
        <w:rPr>
          <w:sz w:val="20"/>
          <w:szCs w:val="20"/>
          <w:color w:val="auto"/>
        </w:rPr>
      </w:pPr>
      <w:r>
        <w:rPr>
          <w:rFonts w:ascii="Times New Roman" w:cs="Times New Roman" w:eastAsia="Times New Roman" w:hAnsi="Times New Roman"/>
          <w:sz w:val="14"/>
          <w:szCs w:val="14"/>
          <w:color w:val="auto"/>
        </w:rPr>
        <w:t>The Shell Finance US Indenture is, and the Exchange Notes and the Guarantees will be, governed by and construed in accordance with the laws of the State of New York.</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The Trustee</w:t>
      </w:r>
    </w:p>
    <w:p>
      <w:pPr>
        <w:spacing w:after="0" w:line="170" w:lineRule="exact"/>
        <w:rPr>
          <w:sz w:val="20"/>
          <w:szCs w:val="20"/>
          <w:color w:val="auto"/>
        </w:rPr>
      </w:pPr>
    </w:p>
    <w:p>
      <w:pPr>
        <w:ind w:left="1480" w:right="419"/>
        <w:spacing w:after="0" w:line="294" w:lineRule="auto"/>
        <w:rPr>
          <w:sz w:val="20"/>
          <w:szCs w:val="20"/>
          <w:color w:val="auto"/>
        </w:rPr>
      </w:pPr>
      <w:r>
        <w:rPr>
          <w:rFonts w:ascii="Times New Roman" w:cs="Times New Roman" w:eastAsia="Times New Roman" w:hAnsi="Times New Roman"/>
          <w:sz w:val="12"/>
          <w:szCs w:val="12"/>
          <w:color w:val="auto"/>
        </w:rPr>
        <w:t>Deutsche Bank Trust Company Americas is the trustee under the Shell Finance US Indenture. The address of Deutsche Bank Trust Company Americas is 1 Columbus Circle, 4th Floor, New York, New York 10019, Attention: Global Transaction Banking, Trust and Securities Services. Shell and Shell Finance US may appoint another trustee or a substitute trustee under the Shell Finance US Indenture or appoint an entity qualified under the Trust Indenture Act to serve as trustee under the Shell Finance US Indenture. Deutsche Bank Trust Company Americas has served as trustee, paying agent, auction agent, exchange agent and in similar capacities in transactions involving entities in the Shell Group or relating to the debt or long-term payment obligations of members of the Shell Group. Additionally, Deutsche Bank Trust Company Americas and its affiliates perform certain commercial banking services for us for which they receive customary fees and are lenders under various outstanding credit facilities of subsidiaries of Shell.</w:t>
      </w:r>
    </w:p>
    <w:p>
      <w:pPr>
        <w:spacing w:after="0" w:line="123" w:lineRule="exact"/>
        <w:rPr>
          <w:sz w:val="20"/>
          <w:szCs w:val="20"/>
          <w:color w:val="auto"/>
        </w:rPr>
      </w:pPr>
    </w:p>
    <w:p>
      <w:pPr>
        <w:jc w:val="both"/>
        <w:ind w:left="1480" w:right="419"/>
        <w:spacing w:after="0" w:line="250" w:lineRule="auto"/>
        <w:rPr>
          <w:sz w:val="20"/>
          <w:szCs w:val="20"/>
          <w:color w:val="auto"/>
        </w:rPr>
      </w:pPr>
      <w:r>
        <w:rPr>
          <w:rFonts w:ascii="Times New Roman" w:cs="Times New Roman" w:eastAsia="Times New Roman" w:hAnsi="Times New Roman"/>
          <w:sz w:val="14"/>
          <w:szCs w:val="14"/>
          <w:color w:val="auto"/>
        </w:rPr>
        <w:t>If an event of default occurs under the Shell Finance US Indenture and is continuing, the Trustee will be required to use the degree of care and skill of a prudent person in the conduct of that person’s own affairs. The Trustee will become obligated to exercise any of its powers under the Shell Finance US Indenture at the request of any of the holders of any Exchange Notes issued under the Shell Finance US Indenture only after those holders have offered the Trustee indemnity satisfactory to it.</w:t>
      </w:r>
    </w:p>
    <w:p>
      <w:pPr>
        <w:spacing w:after="0" w:line="145" w:lineRule="exact"/>
        <w:rPr>
          <w:sz w:val="20"/>
          <w:szCs w:val="20"/>
          <w:color w:val="auto"/>
        </w:rPr>
      </w:pPr>
    </w:p>
    <w:p>
      <w:pPr>
        <w:ind w:left="1480" w:right="419"/>
        <w:spacing w:after="0" w:line="248" w:lineRule="auto"/>
        <w:rPr>
          <w:sz w:val="20"/>
          <w:szCs w:val="20"/>
          <w:color w:val="auto"/>
        </w:rPr>
      </w:pPr>
      <w:r>
        <w:rPr>
          <w:rFonts w:ascii="Times New Roman" w:cs="Times New Roman" w:eastAsia="Times New Roman" w:hAnsi="Times New Roman"/>
          <w:sz w:val="14"/>
          <w:szCs w:val="14"/>
          <w:color w:val="auto"/>
        </w:rPr>
        <w:t>The Shell Finance US Indenture contains limitations on the right of the Trustee, if it becomes a creditor of Shell or Shell Finance US, to obtain payment of claims or to realize on certain property received for any such claim, as security or otherwise. The Trustee is permitted to engage in other transactions with Shell and Shell Finance US. If, however, it acquires any conflicting interest, it must eliminate that conflict or resign within 90 days after ascertaining that it has a conflicting interest and after the occurrence of a default under the Shell Finance US Indenture, unless the default has been cured, waived or otherwise eliminated within the 90-day period.</w:t>
      </w:r>
    </w:p>
    <w:p>
      <w:pPr>
        <w:spacing w:after="0" w:line="1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Form, Exchange and Registration</w:t>
      </w:r>
    </w:p>
    <w:p>
      <w:pPr>
        <w:spacing w:after="0" w:line="170" w:lineRule="exact"/>
        <w:rPr>
          <w:sz w:val="20"/>
          <w:szCs w:val="20"/>
          <w:color w:val="auto"/>
        </w:rPr>
      </w:pPr>
    </w:p>
    <w:p>
      <w:pPr>
        <w:jc w:val="both"/>
        <w:ind w:left="1480" w:right="739"/>
        <w:spacing w:after="0" w:line="348" w:lineRule="auto"/>
        <w:rPr>
          <w:sz w:val="20"/>
          <w:szCs w:val="20"/>
          <w:color w:val="auto"/>
        </w:rPr>
      </w:pPr>
      <w:r>
        <w:rPr>
          <w:rFonts w:ascii="Times New Roman" w:cs="Times New Roman" w:eastAsia="Times New Roman" w:hAnsi="Times New Roman"/>
          <w:sz w:val="12"/>
          <w:szCs w:val="12"/>
          <w:color w:val="auto"/>
        </w:rPr>
        <w:t>The Exchange Notes will be issued in registered form, without interest coupons. There will be no service charge for any registration of transfer or exchange of Exchange Notes. However, payment of any transfer tax or similar governmental charge payable for that registration may be required.</w:t>
      </w:r>
    </w:p>
    <w:p>
      <w:pPr>
        <w:spacing w:after="0" w:line="90" w:lineRule="exact"/>
        <w:rPr>
          <w:sz w:val="20"/>
          <w:szCs w:val="20"/>
          <w:color w:val="auto"/>
        </w:rPr>
      </w:pPr>
    </w:p>
    <w:p>
      <w:pPr>
        <w:ind w:left="1480" w:right="379"/>
        <w:spacing w:after="0" w:line="250" w:lineRule="auto"/>
        <w:rPr>
          <w:sz w:val="20"/>
          <w:szCs w:val="20"/>
          <w:color w:val="auto"/>
        </w:rPr>
      </w:pPr>
      <w:r>
        <w:rPr>
          <w:rFonts w:ascii="Times New Roman" w:cs="Times New Roman" w:eastAsia="Times New Roman" w:hAnsi="Times New Roman"/>
          <w:sz w:val="14"/>
          <w:szCs w:val="14"/>
          <w:color w:val="auto"/>
        </w:rPr>
        <w:t>Exchange Notes of any series will be exchangeable for other Exchange Notes of the same series, the same total principal amount and the same terms but in different authorized denominations in accordance with the Shell Finance US Indenture. Holders may present debt securities for registration of transfer at the office of the security registrar or any transfer agent Shell or Shell Finance US designates. The security registrar or transfer agent will effect the transfer or exchange if its requirements and the requirements of the Shell Finance US Indenture are met.</w:t>
      </w:r>
    </w:p>
    <w:p>
      <w:pPr>
        <w:spacing w:after="0" w:line="145" w:lineRule="exact"/>
        <w:rPr>
          <w:sz w:val="20"/>
          <w:szCs w:val="20"/>
          <w:color w:val="auto"/>
        </w:rPr>
      </w:pPr>
    </w:p>
    <w:p>
      <w:pPr>
        <w:ind w:left="1480" w:right="519"/>
        <w:spacing w:after="0" w:line="250" w:lineRule="auto"/>
        <w:rPr>
          <w:sz w:val="20"/>
          <w:szCs w:val="20"/>
          <w:color w:val="auto"/>
        </w:rPr>
      </w:pPr>
      <w:r>
        <w:rPr>
          <w:rFonts w:ascii="Times New Roman" w:cs="Times New Roman" w:eastAsia="Times New Roman" w:hAnsi="Times New Roman"/>
          <w:sz w:val="14"/>
          <w:szCs w:val="14"/>
          <w:color w:val="auto"/>
        </w:rPr>
        <w:t>The Trustee will be appointed as security registrar for the Exchange Notes. Shell or Shell Finance US may at any time rescind the designation of any transfer agent or approve a change in the location through which any transfer agent acts. Shell or Shell Finance US is required to maintain an office or agency for transfers and exchanges in each place of payment. Shell or Shell Finance US may at any time designate additional transfer agents for any series of Exchange Notes.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78"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In the case of any redemption, Shell and Shell Finance US will not be required to register the transfer or exchange of:</w:t>
      </w:r>
    </w:p>
    <w:p>
      <w:pPr>
        <w:spacing w:after="0" w:line="186" w:lineRule="exact"/>
        <w:rPr>
          <w:sz w:val="20"/>
          <w:szCs w:val="20"/>
          <w:color w:val="auto"/>
        </w:rPr>
      </w:pPr>
    </w:p>
    <w:p>
      <w:pPr>
        <w:ind w:left="2220" w:right="699" w:hanging="331"/>
        <w:spacing w:after="0" w:line="264" w:lineRule="auto"/>
        <w:tabs>
          <w:tab w:leader="none" w:pos="2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Exchange Notes during a period beginning 15 Business Days before the relevant notice of redemption or repurchase is given and ending on the close of business on the day such notice is given; or</w:t>
      </w:r>
    </w:p>
    <w:p>
      <w:pPr>
        <w:spacing w:after="0" w:line="155" w:lineRule="exact"/>
        <w:rPr>
          <w:rFonts w:ascii="Times New Roman" w:cs="Times New Roman" w:eastAsia="Times New Roman" w:hAnsi="Times New Roman"/>
          <w:sz w:val="14"/>
          <w:szCs w:val="14"/>
          <w:color w:val="auto"/>
        </w:rPr>
      </w:pPr>
    </w:p>
    <w:p>
      <w:pPr>
        <w:ind w:left="2220" w:right="379" w:hanging="331"/>
        <w:spacing w:after="0" w:line="264" w:lineRule="auto"/>
        <w:tabs>
          <w:tab w:leader="none" w:pos="2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Exchange Notes that have been called for redemption in whole or in part, except the unredeemed portion of any Exchange Notes being redeemed in part.</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170" w:lineRule="exact"/>
        <w:rPr>
          <w:sz w:val="20"/>
          <w:szCs w:val="20"/>
          <w:color w:val="auto"/>
        </w:rPr>
      </w:pPr>
    </w:p>
    <w:p>
      <w:pPr>
        <w:ind w:left="1480" w:right="379"/>
        <w:spacing w:after="0" w:line="250" w:lineRule="auto"/>
        <w:rPr>
          <w:sz w:val="20"/>
          <w:szCs w:val="20"/>
          <w:color w:val="auto"/>
        </w:rPr>
      </w:pPr>
      <w:r>
        <w:rPr>
          <w:rFonts w:ascii="Times New Roman" w:cs="Times New Roman" w:eastAsia="Times New Roman" w:hAnsi="Times New Roman"/>
          <w:sz w:val="14"/>
          <w:szCs w:val="14"/>
          <w:color w:val="auto"/>
        </w:rPr>
        <w:t>Payments on the Exchange Notes will be made in U.S. dollars at the office of the Trustee and any paying agent. At the option of Shell or Shell Finance US, however, payments may be made by wire transfer for global debt securities or by check mailed to the address of the person entitled to the payment as it appears in the security register. Interest payments may be made to the person in whose name an Exchange Note is registered at the close of business on the applicable record date for the interest payment set forth under “—General” above.</w:t>
      </w:r>
    </w:p>
    <w:p>
      <w:pPr>
        <w:spacing w:after="0" w:line="145" w:lineRule="exact"/>
        <w:rPr>
          <w:sz w:val="20"/>
          <w:szCs w:val="20"/>
          <w:color w:val="auto"/>
        </w:rPr>
      </w:pPr>
    </w:p>
    <w:p>
      <w:pPr>
        <w:ind w:left="1480" w:right="539"/>
        <w:spacing w:after="0" w:line="264" w:lineRule="auto"/>
        <w:rPr>
          <w:sz w:val="20"/>
          <w:szCs w:val="20"/>
          <w:color w:val="auto"/>
        </w:rPr>
      </w:pPr>
      <w:r>
        <w:rPr>
          <w:rFonts w:ascii="Times New Roman" w:cs="Times New Roman" w:eastAsia="Times New Roman" w:hAnsi="Times New Roman"/>
          <w:sz w:val="14"/>
          <w:szCs w:val="14"/>
          <w:color w:val="auto"/>
        </w:rPr>
        <w:t>We have initially designated the Trustee as the paying agent. Shell or Shell Finance US may at any time designate additional paying agents or rescind the designation of any paying agent or approve a change in the office through which any paying agent acts.</w:t>
      </w:r>
    </w:p>
    <w:p>
      <w:pPr>
        <w:spacing w:after="0" w:line="136" w:lineRule="exact"/>
        <w:rPr>
          <w:sz w:val="20"/>
          <w:szCs w:val="20"/>
          <w:color w:val="auto"/>
        </w:rPr>
      </w:pPr>
    </w:p>
    <w:p>
      <w:pPr>
        <w:ind w:left="1480" w:right="759"/>
        <w:spacing w:after="0" w:line="264" w:lineRule="auto"/>
        <w:rPr>
          <w:sz w:val="20"/>
          <w:szCs w:val="20"/>
          <w:color w:val="auto"/>
        </w:rPr>
      </w:pPr>
      <w:r>
        <w:rPr>
          <w:rFonts w:ascii="Times New Roman" w:cs="Times New Roman" w:eastAsia="Times New Roman" w:hAnsi="Times New Roman"/>
          <w:sz w:val="14"/>
          <w:szCs w:val="14"/>
          <w:color w:val="auto"/>
        </w:rPr>
        <w:t>If the principal of or any premium or interest on or additional amounts with respect to Exchange Notes of a series is payable on a day that is not a Business Day, the payment will be made on the following Business Day.</w:t>
      </w:r>
    </w:p>
    <w:p>
      <w:pPr>
        <w:spacing w:after="0" w:line="136" w:lineRule="exact"/>
        <w:rPr>
          <w:sz w:val="20"/>
          <w:szCs w:val="20"/>
          <w:color w:val="auto"/>
        </w:rPr>
      </w:pPr>
    </w:p>
    <w:p>
      <w:pPr>
        <w:ind w:left="1480" w:right="359"/>
        <w:spacing w:after="0" w:line="250" w:lineRule="auto"/>
        <w:rPr>
          <w:sz w:val="20"/>
          <w:szCs w:val="20"/>
          <w:color w:val="auto"/>
        </w:rPr>
      </w:pPr>
      <w:r>
        <w:rPr>
          <w:rFonts w:ascii="Times New Roman" w:cs="Times New Roman" w:eastAsia="Times New Roman" w:hAnsi="Times New Roman"/>
          <w:sz w:val="14"/>
          <w:szCs w:val="14"/>
          <w:color w:val="auto"/>
        </w:rPr>
        <w:t>Subject to the requirements of any applicable abandoned property laws, the Trustee and paying agent will pay to us upon written request any money held by them for payments on the Exchange Notes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Book-Entry Form</w:t>
      </w:r>
    </w:p>
    <w:p>
      <w:pPr>
        <w:spacing w:after="0" w:line="170" w:lineRule="exact"/>
        <w:rPr>
          <w:sz w:val="20"/>
          <w:szCs w:val="20"/>
          <w:color w:val="auto"/>
        </w:rPr>
      </w:pPr>
    </w:p>
    <w:p>
      <w:pPr>
        <w:ind w:left="1480" w:right="379"/>
        <w:spacing w:after="0" w:line="294" w:lineRule="auto"/>
        <w:rPr>
          <w:sz w:val="20"/>
          <w:szCs w:val="20"/>
          <w:color w:val="auto"/>
        </w:rPr>
      </w:pPr>
      <w:r>
        <w:rPr>
          <w:rFonts w:ascii="Times New Roman" w:cs="Times New Roman" w:eastAsia="Times New Roman" w:hAnsi="Times New Roman"/>
          <w:sz w:val="12"/>
          <w:szCs w:val="12"/>
          <w:color w:val="auto"/>
        </w:rPr>
        <w:t>The Exchange Notes will initially be issued to investors in book-entry form only. Fully registered global notes representing the total aggregate principal amount of the Exchange Notes of each series will be issued and registered in the name of a nominee for DTC, the securities depositary for the Exchange Notes, for credit to accounts of direct or indirect participants in DTC, Euroclear and Clearstream. Except in limited circumstances, the Exchange Notes will not be issuable in definitive form. Unless and until Exchange Notes in definitive certificated form are issued, the only holder will be Cede &amp; Co., as nominee of DTC, or the nominee of a successor depositary. Except as described in this prospectus, a beneficial owner of any interest in a global note will not be entitled to receive physical delivery of definitive Exchange Notes. Accordingly, each beneficial owner of any interest in a global note must rely on the procedures of DTC, Euroclear, Clearstream, or their participants, as applicable, to exercise any rights under the Exchange Notes.</w:t>
      </w:r>
    </w:p>
    <w:p>
      <w:pPr>
        <w:spacing w:after="0" w:line="11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Global Clearance and Settlement Procedures</w:t>
      </w:r>
    </w:p>
    <w:p>
      <w:pPr>
        <w:spacing w:after="0" w:line="170" w:lineRule="exact"/>
        <w:rPr>
          <w:sz w:val="20"/>
          <w:szCs w:val="20"/>
          <w:color w:val="auto"/>
        </w:rPr>
      </w:pPr>
    </w:p>
    <w:p>
      <w:pPr>
        <w:ind w:left="1480" w:right="359"/>
        <w:spacing w:after="0" w:line="253" w:lineRule="auto"/>
        <w:rPr>
          <w:sz w:val="20"/>
          <w:szCs w:val="20"/>
          <w:color w:val="auto"/>
        </w:rPr>
      </w:pPr>
      <w:r>
        <w:rPr>
          <w:rFonts w:ascii="Times New Roman" w:cs="Times New Roman" w:eastAsia="Times New Roman" w:hAnsi="Times New Roman"/>
          <w:sz w:val="14"/>
          <w:szCs w:val="14"/>
          <w:color w:val="auto"/>
        </w:rPr>
        <w:t>Secondary market trading between DTC participants will occur in the ordinary way in accordance with DTC rules.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w:t>
      </w:r>
    </w:p>
    <w:p>
      <w:pPr>
        <w:spacing w:after="0" w:line="144" w:lineRule="exact"/>
        <w:rPr>
          <w:sz w:val="20"/>
          <w:szCs w:val="20"/>
          <w:color w:val="auto"/>
        </w:rPr>
      </w:pPr>
    </w:p>
    <w:p>
      <w:pPr>
        <w:ind w:left="1480" w:right="659"/>
        <w:spacing w:after="0" w:line="264" w:lineRule="auto"/>
        <w:rPr>
          <w:sz w:val="20"/>
          <w:szCs w:val="20"/>
          <w:color w:val="auto"/>
        </w:rPr>
      </w:pPr>
      <w:r>
        <w:rPr>
          <w:rFonts w:ascii="Times New Roman" w:cs="Times New Roman" w:eastAsia="Times New Roman" w:hAnsi="Times New Roman"/>
          <w:sz w:val="14"/>
          <w:szCs w:val="14"/>
          <w:color w:val="auto"/>
        </w:rPr>
        <w:t>Cross-market transfers between persons holding directly or indirectly through DTC participants, on the one hand, and directly or indirectly through Clearstream or Euroclear participants, on the other hand, will be effected in</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78"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79"/>
        <w:spacing w:after="0" w:line="248" w:lineRule="auto"/>
        <w:rPr>
          <w:sz w:val="20"/>
          <w:szCs w:val="20"/>
          <w:color w:val="auto"/>
        </w:rPr>
      </w:pPr>
      <w:r>
        <w:rPr>
          <w:rFonts w:ascii="Times New Roman" w:cs="Times New Roman" w:eastAsia="Times New Roman" w:hAnsi="Times New Roman"/>
          <w:sz w:val="14"/>
          <w:szCs w:val="14"/>
          <w:color w:val="auto"/>
        </w:rPr>
        <w:t>DTC in accordance with DTC rules on behalf of the relevant international clearing system by its U.S. depositary. However, cross-market transactions will require delivery of instructions to the relevant international clearing system by the counterparty in that system in accordance with its rules and procedures and within its established deadlines (European time). The relevant international clearing system will, if a transaction meets its settlement requirements, deliver instructions to its U.S. depositary to take action to effect final settlement on its behalf by delivering or receiving securities in DTC. Clearstream participants and Euroclear participants may not deliver instructions directly to the respective U.S. depositary.</w:t>
      </w:r>
    </w:p>
    <w:p>
      <w:pPr>
        <w:spacing w:after="0" w:line="148" w:lineRule="exact"/>
        <w:rPr>
          <w:sz w:val="20"/>
          <w:szCs w:val="20"/>
          <w:color w:val="auto"/>
        </w:rPr>
      </w:pPr>
    </w:p>
    <w:p>
      <w:pPr>
        <w:ind w:left="1480" w:right="399"/>
        <w:spacing w:after="0" w:line="247" w:lineRule="auto"/>
        <w:rPr>
          <w:sz w:val="20"/>
          <w:szCs w:val="20"/>
          <w:color w:val="auto"/>
        </w:rPr>
      </w:pPr>
      <w:r>
        <w:rPr>
          <w:rFonts w:ascii="Times New Roman" w:cs="Times New Roman" w:eastAsia="Times New Roman" w:hAnsi="Times New Roman"/>
          <w:sz w:val="14"/>
          <w:szCs w:val="14"/>
          <w:color w:val="auto"/>
        </w:rPr>
        <w:t>Because of time-zone differences, credits of notes received in Clearstream or Euroclear as a result of a transaction with a DTC participant will be made during subsequent securities settlement processing and dated the business day following the DTC settlement date. These credits or any transactions in the Exchange Notes settled during the processing will be reported to the relevant Clearstream or Euroclear participants on that business day. Cash received in Clearstream or Euroclear as a result of sales of Exchange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49" w:lineRule="exact"/>
        <w:rPr>
          <w:sz w:val="20"/>
          <w:szCs w:val="20"/>
          <w:color w:val="auto"/>
        </w:rPr>
      </w:pPr>
    </w:p>
    <w:p>
      <w:pPr>
        <w:ind w:left="1480" w:right="479"/>
        <w:spacing w:after="0" w:line="253" w:lineRule="auto"/>
        <w:rPr>
          <w:sz w:val="20"/>
          <w:szCs w:val="20"/>
          <w:color w:val="auto"/>
        </w:rPr>
      </w:pPr>
      <w:r>
        <w:rPr>
          <w:rFonts w:ascii="Times New Roman" w:cs="Times New Roman" w:eastAsia="Times New Roman" w:hAnsi="Times New Roman"/>
          <w:sz w:val="14"/>
          <w:szCs w:val="14"/>
          <w:color w:val="auto"/>
        </w:rPr>
        <w:t>Although it is expected that DTC, Clearstream and Euroclear will follow the foregoing procedures in order to facilitate transfers of Exchange Notes among participants of DTC, Clearstream and Euroclear, they are under no obligation to perform or continue such procedures and such procedures may be changed or discontinued at any time.</w:t>
      </w:r>
    </w:p>
    <w:p>
      <w:pPr>
        <w:spacing w:after="0" w:line="1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The Clearing System</w:t>
      </w:r>
    </w:p>
    <w:p>
      <w:pPr>
        <w:spacing w:after="0" w:line="1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DTC has advised us as follows:</w:t>
      </w:r>
    </w:p>
    <w:p>
      <w:pPr>
        <w:spacing w:after="0" w:line="186" w:lineRule="exact"/>
        <w:rPr>
          <w:sz w:val="20"/>
          <w:szCs w:val="20"/>
          <w:color w:val="auto"/>
        </w:rPr>
      </w:pPr>
    </w:p>
    <w:p>
      <w:pPr>
        <w:ind w:left="2220" w:right="459" w:hanging="331"/>
        <w:spacing w:after="0" w:line="250" w:lineRule="auto"/>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is: (1) a limited purpose trust company organized under the laws of the State of New York; (2) a “banking organization” within the meaning of New York Banking Law; (3) a member of the Federal Reserve System; (4) a “clearing corporation” within the meaning of the New York Uniform Commercial Code; and (5) a “clearing agency” registered pursuant to the provisions of Section 17A of the Exchange Act.</w:t>
      </w:r>
    </w:p>
    <w:p>
      <w:pPr>
        <w:spacing w:after="0" w:line="165" w:lineRule="exact"/>
        <w:rPr>
          <w:rFonts w:ascii="Times New Roman" w:cs="Times New Roman" w:eastAsia="Times New Roman" w:hAnsi="Times New Roman"/>
          <w:sz w:val="14"/>
          <w:szCs w:val="14"/>
          <w:color w:val="auto"/>
        </w:rPr>
      </w:pPr>
    </w:p>
    <w:p>
      <w:pPr>
        <w:jc w:val="both"/>
        <w:ind w:left="2220" w:right="699" w:hanging="331"/>
        <w:spacing w:after="0" w:line="253" w:lineRule="auto"/>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was created to hold securities for its participants and to facilitate the clearance and settlement of securities transactions between participants through electronic book-entry changes to accounts of its participants. This eliminates the need for physical movement of securities.</w:t>
      </w:r>
    </w:p>
    <w:p>
      <w:pPr>
        <w:spacing w:after="0" w:line="164" w:lineRule="exact"/>
        <w:rPr>
          <w:rFonts w:ascii="Times New Roman" w:cs="Times New Roman" w:eastAsia="Times New Roman" w:hAnsi="Times New Roman"/>
          <w:sz w:val="14"/>
          <w:szCs w:val="14"/>
          <w:color w:val="auto"/>
        </w:rPr>
      </w:pPr>
    </w:p>
    <w:p>
      <w:pPr>
        <w:ind w:left="2220" w:right="399" w:hanging="331"/>
        <w:spacing w:after="0" w:line="264" w:lineRule="auto"/>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Participants in DTC include securities brokers and dealers, banks, trust companies and clearing corporations and may include certain other organizations. DTC is partially owned by some of these participants or their representatives.</w:t>
      </w:r>
    </w:p>
    <w:p>
      <w:pPr>
        <w:spacing w:after="0" w:line="155" w:lineRule="exact"/>
        <w:rPr>
          <w:rFonts w:ascii="Times New Roman" w:cs="Times New Roman" w:eastAsia="Times New Roman" w:hAnsi="Times New Roman"/>
          <w:sz w:val="14"/>
          <w:szCs w:val="14"/>
          <w:color w:val="auto"/>
        </w:rPr>
      </w:pPr>
    </w:p>
    <w:p>
      <w:pPr>
        <w:ind w:left="2220" w:right="379" w:hanging="331"/>
        <w:spacing w:after="0" w:line="264" w:lineRule="auto"/>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Indirect access to the DTC system is also available to banks, brokers and dealers and trust companies that have custodial relationships with participants.</w:t>
      </w:r>
    </w:p>
    <w:p>
      <w:pPr>
        <w:spacing w:after="0" w:line="15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rules applicable to DTC and DTC participants are on file with the SEC.</w:t>
      </w:r>
    </w:p>
    <w:p>
      <w:pPr>
        <w:spacing w:after="0" w:line="1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78"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w:t>
      </w:r>
    </w:p>
    <w:p>
      <w:pPr>
        <w:spacing w:after="0" w:line="170" w:lineRule="exact"/>
        <w:rPr>
          <w:sz w:val="20"/>
          <w:szCs w:val="20"/>
          <w:color w:val="auto"/>
        </w:rPr>
      </w:pPr>
    </w:p>
    <w:p>
      <w:pPr>
        <w:ind w:left="1480" w:right="479"/>
        <w:spacing w:after="0" w:line="253" w:lineRule="auto"/>
        <w:rPr>
          <w:sz w:val="20"/>
          <w:szCs w:val="20"/>
          <w:color w:val="auto"/>
        </w:rPr>
      </w:pPr>
      <w:r>
        <w:rPr>
          <w:rFonts w:ascii="Times New Roman" w:cs="Times New Roman" w:eastAsia="Times New Roman" w:hAnsi="Times New Roman"/>
          <w:sz w:val="14"/>
          <w:szCs w:val="14"/>
          <w:color w:val="auto"/>
        </w:rPr>
        <w:t>This section describes the material U.S. federal income tax consequences of the exchange of Restricted Notes for Exchange Notes pursuant to the Exchange Offers. It applies to you only if you hold your Restricted Notes and will hold your Exchange Notes, as capital assets for U.S. federal income tax purposes. This section does not apply to you if you are a member of a special class of holders subject to special rules, including:</w:t>
      </w:r>
    </w:p>
    <w:p>
      <w:pPr>
        <w:spacing w:after="0" w:line="164" w:lineRule="exact"/>
        <w:rPr>
          <w:sz w:val="20"/>
          <w:szCs w:val="20"/>
          <w:color w:val="auto"/>
        </w:rPr>
      </w:pPr>
    </w:p>
    <w:p>
      <w:pPr>
        <w:ind w:left="2220" w:hanging="331"/>
        <w:spacing w:after="0"/>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dealer in securities or currencies;</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trader in securities that elects to use a mark-to-market method of accounting for its securities holdings;</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regulated investment company;</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real estate investment trust;</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tax-exempt organization;</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insurance company;</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financial institution;</w:t>
      </w:r>
    </w:p>
    <w:p>
      <w:pPr>
        <w:spacing w:after="0" w:line="185" w:lineRule="exact"/>
        <w:rPr>
          <w:rFonts w:ascii="Times New Roman" w:cs="Times New Roman" w:eastAsia="Times New Roman" w:hAnsi="Times New Roman"/>
          <w:sz w:val="14"/>
          <w:szCs w:val="14"/>
          <w:color w:val="auto"/>
        </w:rPr>
      </w:pPr>
    </w:p>
    <w:p>
      <w:pPr>
        <w:ind w:left="2220" w:right="879" w:hanging="331"/>
        <w:spacing w:after="0" w:line="264" w:lineRule="auto"/>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that holds Restricted Notes or Exchange Notes as part of a straddle or a hedging or conversion transaction, or as part of a constructive sale or other integrated financial transaction;</w:t>
      </w:r>
    </w:p>
    <w:p>
      <w:pPr>
        <w:spacing w:after="0" w:line="15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who is an investor in a pass through entity (such as a partnership);</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expatriate; or</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whose functional currency is not the U.S. dollar.</w:t>
      </w:r>
    </w:p>
    <w:p>
      <w:pPr>
        <w:spacing w:after="0" w:line="162" w:lineRule="exact"/>
        <w:rPr>
          <w:sz w:val="20"/>
          <w:szCs w:val="20"/>
          <w:color w:val="auto"/>
        </w:rPr>
      </w:pPr>
    </w:p>
    <w:p>
      <w:pPr>
        <w:ind w:left="1480" w:right="459"/>
        <w:spacing w:after="0" w:line="270" w:lineRule="auto"/>
        <w:rPr>
          <w:sz w:val="20"/>
          <w:szCs w:val="20"/>
          <w:color w:val="auto"/>
        </w:rPr>
      </w:pPr>
      <w:r>
        <w:rPr>
          <w:rFonts w:ascii="Times New Roman" w:cs="Times New Roman" w:eastAsia="Times New Roman" w:hAnsi="Times New Roman"/>
          <w:sz w:val="14"/>
          <w:szCs w:val="14"/>
          <w:color w:val="auto"/>
        </w:rPr>
        <w:t>This summary is based on the U.S. Internal Revenue Code of 1986, as amended (the “</w:t>
      </w:r>
      <w:r>
        <w:rPr>
          <w:rFonts w:ascii="Times New Roman" w:cs="Times New Roman" w:eastAsia="Times New Roman" w:hAnsi="Times New Roman"/>
          <w:sz w:val="14"/>
          <w:szCs w:val="14"/>
          <w:b w:val="1"/>
          <w:bCs w:val="1"/>
          <w:color w:val="auto"/>
        </w:rPr>
        <w:t>Code</w:t>
      </w:r>
      <w:r>
        <w:rPr>
          <w:rFonts w:ascii="Times New Roman" w:cs="Times New Roman" w:eastAsia="Times New Roman" w:hAnsi="Times New Roman"/>
          <w:sz w:val="14"/>
          <w:szCs w:val="14"/>
          <w:color w:val="auto"/>
        </w:rPr>
        <w:t>”), its legislative history, existing and proposed regulations, published rulings and court decisions, all as currently in effect. These laws are subject to change, possibly on a retroactive basis.</w:t>
      </w:r>
    </w:p>
    <w:p>
      <w:pPr>
        <w:spacing w:after="0" w:line="132" w:lineRule="exact"/>
        <w:rPr>
          <w:sz w:val="20"/>
          <w:szCs w:val="20"/>
          <w:color w:val="auto"/>
        </w:rPr>
      </w:pPr>
    </w:p>
    <w:p>
      <w:pPr>
        <w:ind w:left="1480" w:right="479"/>
        <w:spacing w:after="0" w:line="253" w:lineRule="auto"/>
        <w:rPr>
          <w:sz w:val="20"/>
          <w:szCs w:val="20"/>
          <w:color w:val="auto"/>
        </w:rPr>
      </w:pPr>
      <w:r>
        <w:rPr>
          <w:rFonts w:ascii="Times New Roman" w:cs="Times New Roman" w:eastAsia="Times New Roman" w:hAnsi="Times New Roman"/>
          <w:sz w:val="14"/>
          <w:szCs w:val="14"/>
          <w:color w:val="auto"/>
        </w:rPr>
        <w:t>This summary does not address the alternative minimum tax, the Medicare tax on net investment income, the rules under Section 451 of the Code with respect to conforming the timing of income accruals to financial statements, any non-income tax (such as estate or gift taxes) or any state, local or non-U.S. tax consequences of the Exchange Offers or the ownership or disposition of the Exchange Notes.</w:t>
      </w:r>
    </w:p>
    <w:p>
      <w:pPr>
        <w:spacing w:after="0" w:line="144" w:lineRule="exact"/>
        <w:rPr>
          <w:sz w:val="20"/>
          <w:szCs w:val="20"/>
          <w:color w:val="auto"/>
        </w:rPr>
      </w:pPr>
    </w:p>
    <w:p>
      <w:pPr>
        <w:ind w:left="1480" w:right="359"/>
        <w:spacing w:after="0" w:line="296" w:lineRule="auto"/>
        <w:rPr>
          <w:sz w:val="20"/>
          <w:szCs w:val="20"/>
          <w:color w:val="auto"/>
        </w:rPr>
      </w:pPr>
      <w:r>
        <w:rPr>
          <w:rFonts w:ascii="Times New Roman" w:cs="Times New Roman" w:eastAsia="Times New Roman" w:hAnsi="Times New Roman"/>
          <w:sz w:val="12"/>
          <w:szCs w:val="12"/>
          <w:color w:val="auto"/>
        </w:rPr>
        <w:t>The exchange of your Restricted Notes for Exchange Notes pursuant to the Exchange Offers will not be treated as a taxable exchange or other taxable event for U.S. federal income tax purposes. Accordingly, there will be no U.S. federal income tax consequences to holders who exchange their Restricted Notes for Exchange Notes in connection with the Exchange Offers and any such holder will have the same adjusted tax basis and holding period in the Exchange Notes as it had in the Restricted Notes immediately before the exchange. Holders who do not exchange their Restricted Notes for Exchange Notes pursuant to the Exchange Offers will not recognize any gain or loss, for U.S. federal income tax purposes, upon consummation of the Exchange Offers, and their adjusted tax basis, holding period and market discount, if any, for their Restricted Notes will remain unchanged.</w:t>
      </w:r>
    </w:p>
    <w:p>
      <w:pPr>
        <w:spacing w:after="0" w:line="120" w:lineRule="exact"/>
        <w:rPr>
          <w:sz w:val="20"/>
          <w:szCs w:val="20"/>
          <w:color w:val="auto"/>
        </w:rPr>
      </w:pPr>
    </w:p>
    <w:p>
      <w:pPr>
        <w:ind w:left="1480" w:right="579"/>
        <w:spacing w:after="0" w:line="267" w:lineRule="auto"/>
        <w:rPr>
          <w:sz w:val="20"/>
          <w:szCs w:val="20"/>
          <w:color w:val="auto"/>
        </w:rPr>
      </w:pPr>
      <w:r>
        <w:rPr>
          <w:rFonts w:ascii="Times New Roman" w:cs="Times New Roman" w:eastAsia="Times New Roman" w:hAnsi="Times New Roman"/>
          <w:sz w:val="14"/>
          <w:szCs w:val="14"/>
          <w:i w:val="1"/>
          <w:iCs w:val="1"/>
          <w:color w:val="auto"/>
        </w:rPr>
        <w:t>You are urged to consult your own tax advisor regarding the U.S. federal, state and local and other tax consequences of the Exchange Offers and the ownership or disposition of the Exchange Notes in your particular circumstance.</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78"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0" w:lineRule="exact"/>
        <w:rPr>
          <w:sz w:val="20"/>
          <w:szCs w:val="20"/>
          <w:color w:val="auto"/>
        </w:rPr>
      </w:pPr>
    </w:p>
    <w:p>
      <w:pPr>
        <w:ind w:left="1480" w:right="379"/>
        <w:spacing w:after="0" w:line="248" w:lineRule="auto"/>
        <w:rPr>
          <w:sz w:val="20"/>
          <w:szCs w:val="20"/>
          <w:color w:val="auto"/>
        </w:rPr>
      </w:pPr>
      <w:r>
        <w:rPr>
          <w:rFonts w:ascii="Times New Roman" w:cs="Times New Roman" w:eastAsia="Times New Roman" w:hAnsi="Times New Roman"/>
          <w:sz w:val="14"/>
          <w:szCs w:val="14"/>
          <w:color w:val="auto"/>
        </w:rPr>
        <w:t>The distribution of this prospectus and the offer and sale of the Exchange Notes may be restricted by law in certain jurisdictions. Persons who come into possession of this prospectus or any of the Exchange Notes must inform themselves about and observe any such restrictions. You must comply with all applicable laws and regulations in force in any jurisdiction in which you purchase, offer or sell the Exchange Notes or possess or distribute this prospectus and, in connection with any purchase, offer or sale by you of the Exchange Notes, must obtain any consent, approval or permission required under the laws and regulations in force in any jurisdiction to which you are subject or in which you make such purchase, offer or sale.</w:t>
      </w:r>
    </w:p>
    <w:p>
      <w:pPr>
        <w:spacing w:after="0" w:line="148" w:lineRule="exact"/>
        <w:rPr>
          <w:sz w:val="20"/>
          <w:szCs w:val="20"/>
          <w:color w:val="auto"/>
        </w:rPr>
      </w:pPr>
    </w:p>
    <w:p>
      <w:pPr>
        <w:ind w:left="1480" w:right="359"/>
        <w:spacing w:after="0" w:line="247" w:lineRule="auto"/>
        <w:rPr>
          <w:sz w:val="20"/>
          <w:szCs w:val="20"/>
          <w:color w:val="auto"/>
        </w:rPr>
      </w:pPr>
      <w:r>
        <w:rPr>
          <w:rFonts w:ascii="Times New Roman" w:cs="Times New Roman" w:eastAsia="Times New Roman" w:hAnsi="Times New Roman"/>
          <w:sz w:val="14"/>
          <w:szCs w:val="14"/>
          <w:color w:val="auto"/>
        </w:rPr>
        <w:t>In reliance on interpretations of the staff of the SEC set forth in no-action letters issued to third parties in similar transactions, we believe that the Exchange Notes issued in the Exchange Offers in exchange for the Restricted Notes may be offered for resale, resold and otherwise transferred by holders without compliance with the registration and prospectus delivery provisions of the Securities Act, provided that the Exchange Notes are acquired in the ordinary course of such holders’ business and the holders are not engaged in and do not intend to engage in and have no arrangement or understanding with any person to participate in a distribution (within the meaning of the Securities Act) of Exchange Notes. This position does not apply to any holder that is:</w:t>
      </w:r>
    </w:p>
    <w:p>
      <w:pPr>
        <w:spacing w:after="0" w:line="169" w:lineRule="exact"/>
        <w:rPr>
          <w:sz w:val="20"/>
          <w:szCs w:val="20"/>
          <w:color w:val="auto"/>
        </w:rPr>
      </w:pPr>
    </w:p>
    <w:p>
      <w:pPr>
        <w:ind w:left="2220" w:hanging="331"/>
        <w:spacing w:after="0"/>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“affiliate” of Shell or Shell Finance US within the meaning of Rule 405 under the Securities Act; or</w:t>
      </w:r>
    </w:p>
    <w:p>
      <w:pPr>
        <w:spacing w:after="0" w:line="185" w:lineRule="exact"/>
        <w:rPr>
          <w:rFonts w:ascii="Times New Roman" w:cs="Times New Roman" w:eastAsia="Times New Roman" w:hAnsi="Times New Roman"/>
          <w:sz w:val="14"/>
          <w:szCs w:val="14"/>
          <w:color w:val="auto"/>
        </w:rPr>
      </w:pPr>
    </w:p>
    <w:p>
      <w:pPr>
        <w:ind w:left="2220" w:hanging="331"/>
        <w:spacing w:after="0"/>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broker-dealer.</w:t>
      </w:r>
    </w:p>
    <w:p>
      <w:pPr>
        <w:spacing w:after="0" w:line="166" w:lineRule="exact"/>
        <w:rPr>
          <w:sz w:val="20"/>
          <w:szCs w:val="20"/>
          <w:color w:val="auto"/>
        </w:rPr>
      </w:pPr>
    </w:p>
    <w:p>
      <w:pPr>
        <w:ind w:left="1480" w:right="439"/>
        <w:spacing w:after="0" w:line="247" w:lineRule="auto"/>
        <w:rPr>
          <w:sz w:val="20"/>
          <w:szCs w:val="20"/>
          <w:color w:val="auto"/>
        </w:rPr>
      </w:pPr>
      <w:r>
        <w:rPr>
          <w:rFonts w:ascii="Times New Roman" w:cs="Times New Roman" w:eastAsia="Times New Roman" w:hAnsi="Times New Roman"/>
          <w:sz w:val="14"/>
          <w:szCs w:val="14"/>
          <w:color w:val="auto"/>
        </w:rPr>
        <w:t>All broker-dealers receiving Exchange Notes in the Exchange Offers are subject to a prospectus delivery requirement with respect to resales of the Exchange Notes. Each broker-dealer receiving Exchange Notes for its own account in the Exchange Offers must represent that the Restricted Notes to be exchanged for the Exchange Notes were acquired by it as a result of market-making activities or other trading activities and acknowledge that it will deliver a prospectus meeting the requirements of the Securities Act in connection with any offer to resell, resale or other retransfer of the Exchange Notes pursuant to the Exchange Offers. However, by so acknowledging and by delivering a prospectus, the participating broker-dealer will not be deemed to admit that it is an “underwriter” within the meaning of the Securities Act.</w:t>
      </w:r>
    </w:p>
    <w:p>
      <w:pPr>
        <w:spacing w:after="0" w:line="149" w:lineRule="exact"/>
        <w:rPr>
          <w:sz w:val="20"/>
          <w:szCs w:val="20"/>
          <w:color w:val="auto"/>
        </w:rPr>
      </w:pPr>
    </w:p>
    <w:p>
      <w:pPr>
        <w:ind w:left="1480" w:right="379"/>
        <w:spacing w:after="0" w:line="247" w:lineRule="auto"/>
        <w:rPr>
          <w:sz w:val="20"/>
          <w:szCs w:val="20"/>
          <w:color w:val="auto"/>
        </w:rPr>
      </w:pPr>
      <w:r>
        <w:rPr>
          <w:rFonts w:ascii="Times New Roman" w:cs="Times New Roman" w:eastAsia="Times New Roman" w:hAnsi="Times New Roman"/>
          <w:sz w:val="14"/>
          <w:szCs w:val="14"/>
          <w:color w:val="auto"/>
        </w:rPr>
        <w:t>Subject to the terms of the Registration Rights Agreement, Shell Finance US shall use commercially reasonable efforts to keep the registration statement for the Exchange Offers effective and to amend and supplement the prospectus in order to permit such prospectus to be lawfully delivered by all persons subject to the prospectus delivery requirements of the Securities Act. To date, the SEC has taken the position that broker-dealers may use a prospectus such as this one to fulfill their prospectus delivery requirements with respect to resales of Exchange Notes received in an exchange such as the exchange pursuant to the Exchange Offers, if the Restricted Notes for which the Exchange Notes were received in the exchange were acquired for their own accounts as a result of market-making or other trading activities.</w:t>
      </w:r>
    </w:p>
    <w:p>
      <w:pPr>
        <w:spacing w:after="0" w:line="149" w:lineRule="exact"/>
        <w:rPr>
          <w:sz w:val="20"/>
          <w:szCs w:val="20"/>
          <w:color w:val="auto"/>
        </w:rPr>
      </w:pPr>
    </w:p>
    <w:p>
      <w:pPr>
        <w:ind w:left="1480" w:right="419"/>
        <w:spacing w:after="0" w:line="292" w:lineRule="auto"/>
        <w:rPr>
          <w:sz w:val="20"/>
          <w:szCs w:val="20"/>
          <w:color w:val="auto"/>
        </w:rPr>
      </w:pPr>
      <w:r>
        <w:rPr>
          <w:rFonts w:ascii="Times New Roman" w:cs="Times New Roman" w:eastAsia="Times New Roman" w:hAnsi="Times New Roman"/>
          <w:sz w:val="12"/>
          <w:szCs w:val="12"/>
          <w:color w:val="auto"/>
        </w:rPr>
        <w:t>We will not receive any proceeds from any sale of the Exchange Notes by broker-dealers. Broker-dealers acquiring Exchange Notes for their own accounts may sell the notes in one or more transactions in the over-the-counter market, in negotiated transactions, through writing options on the Exchange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and/or the purchasers of such Exchange Notes. Any broker dealer that held Restricted Notes acquired for its own account as a result of market-making activities or other trading activities, that received Exchange Notes in the Exchange Offers, and that participates in a distribution of Exchange Notes may be deemed to be an “underwriter” within the meaning of the Securities Act and must deliver a prospectus meeting the requirements of the Securities Act in connection with any resale of the Exchange Notes. Any profit on these resales of Exchange Notes and any commissions or concessions received by a broker-dealer in connection with</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78"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759"/>
        <w:spacing w:after="0" w:line="264" w:lineRule="auto"/>
        <w:rPr>
          <w:sz w:val="20"/>
          <w:szCs w:val="20"/>
          <w:color w:val="auto"/>
        </w:rPr>
      </w:pPr>
      <w:r>
        <w:rPr>
          <w:rFonts w:ascii="Times New Roman" w:cs="Times New Roman" w:eastAsia="Times New Roman" w:hAnsi="Times New Roman"/>
          <w:sz w:val="14"/>
          <w:szCs w:val="14"/>
          <w:color w:val="auto"/>
        </w:rPr>
        <w:t>these resales may be deemed to be underwriting compensation under the Securities Act. By acknowledging that it will deliver and by delivering a prospectus, a broker-dealer will not admit that it is an “underwriter” within the meaning of the Securities Act.</w:t>
      </w:r>
    </w:p>
    <w:p>
      <w:pPr>
        <w:spacing w:after="0" w:line="136" w:lineRule="exact"/>
        <w:rPr>
          <w:sz w:val="20"/>
          <w:szCs w:val="20"/>
          <w:color w:val="auto"/>
        </w:rPr>
      </w:pPr>
    </w:p>
    <w:p>
      <w:pPr>
        <w:ind w:left="1480" w:right="399"/>
        <w:spacing w:after="0" w:line="247" w:lineRule="auto"/>
        <w:rPr>
          <w:sz w:val="20"/>
          <w:szCs w:val="20"/>
          <w:color w:val="auto"/>
        </w:rPr>
      </w:pPr>
      <w:r>
        <w:rPr>
          <w:rFonts w:ascii="Times New Roman" w:cs="Times New Roman" w:eastAsia="Times New Roman" w:hAnsi="Times New Roman"/>
          <w:sz w:val="14"/>
          <w:szCs w:val="14"/>
          <w:color w:val="auto"/>
        </w:rPr>
        <w:t>Pursuant to the Registration Rights Agreement, we have agreed to pay all expenses incident to the Exchange Offers, other than fees and expenses of counsel to the initial purchasers party to the Registration Rights Agreement (other than fees and expenses of counsel with respect to blue sky laws) or the holders and underwriting discounts and commissions, brokerage commissions and transfer taxes, if any, relating to the sale or disposition of Restricted Notes by a holder, and will indemnify holders of the Restricted Notes, including any broker-dealers, against specified liabilities under the Securities Act. We note, however, that in the opinion of the SEC, indemnification against liabilities under federal securities laws is against public policy and may be unenforceable. See “Notices to Certain Non-U.S. Holders” below for more information.</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78"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NOTICES TO CERTAIN NON-U.S. HOLDERS</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0" w:lineRule="exact"/>
        <w:rPr>
          <w:sz w:val="20"/>
          <w:szCs w:val="20"/>
          <w:color w:val="auto"/>
        </w:rPr>
      </w:pPr>
    </w:p>
    <w:p>
      <w:pPr>
        <w:ind w:left="1480" w:right="359"/>
        <w:spacing w:after="0" w:line="300" w:lineRule="auto"/>
        <w:rPr>
          <w:sz w:val="20"/>
          <w:szCs w:val="20"/>
          <w:color w:val="auto"/>
        </w:rPr>
      </w:pPr>
      <w:r>
        <w:rPr>
          <w:rFonts w:ascii="Times New Roman" w:cs="Times New Roman" w:eastAsia="Times New Roman" w:hAnsi="Times New Roman"/>
          <w:sz w:val="12"/>
          <w:szCs w:val="12"/>
          <w:color w:val="auto"/>
        </w:rPr>
        <w:t>No action has been or will be taken in any jurisdiction that would permit a public offering of the Exchange Notes or the possession, circulation or distribution of this prospectus or any material relating to us, the Restricted Notes or the Exchange Notes in any jurisdiction where action for that purpose is required. Accordingly, the Exchange Notes offered in the Exchange Offers may not be offered, sold or exchanged, directly or indirectly, and neither this prospectus nor any other offering material or advertisements in connection with the Exchange Offers may be distributed or published, in or from any such country or jurisdiction, except in compliance with any applicable rules or regulations of any such country or jurisdiction.</w:t>
      </w:r>
    </w:p>
    <w:p>
      <w:pPr>
        <w:spacing w:after="0" w:line="117" w:lineRule="exact"/>
        <w:rPr>
          <w:sz w:val="20"/>
          <w:szCs w:val="20"/>
          <w:color w:val="auto"/>
        </w:rPr>
      </w:pPr>
    </w:p>
    <w:p>
      <w:pPr>
        <w:ind w:left="1480" w:right="439"/>
        <w:spacing w:after="0" w:line="248" w:lineRule="auto"/>
        <w:rPr>
          <w:sz w:val="20"/>
          <w:szCs w:val="20"/>
          <w:color w:val="auto"/>
        </w:rPr>
      </w:pPr>
      <w:r>
        <w:rPr>
          <w:rFonts w:ascii="Times New Roman" w:cs="Times New Roman" w:eastAsia="Times New Roman" w:hAnsi="Times New Roman"/>
          <w:sz w:val="14"/>
          <w:szCs w:val="14"/>
          <w:color w:val="auto"/>
        </w:rPr>
        <w:t>This prospectus does not constitute an offer to buy or sell or a solicitation of an offer to buy or sell either Restricted Notes or Exchange Notes in any jurisdiction in which, or to or from any person to or from whom it is unlawful to make such offer or solicitation under applicable securities laws or otherwise. The distribution of this prospectus in certain jurisdictions (including, but not limited to, the EEA, the U.K., Belgium, France, Italy, Hong Kong, Japan and Singapore) may be restricted by law. Persons into whose possession this prospectus comes are required by us and the Exchange Agent to inform themselves about, and to observe, any such restrictions.</w:t>
      </w:r>
    </w:p>
    <w:p>
      <w:pPr>
        <w:spacing w:after="0" w:line="148" w:lineRule="exact"/>
        <w:rPr>
          <w:sz w:val="20"/>
          <w:szCs w:val="20"/>
          <w:color w:val="auto"/>
        </w:rPr>
      </w:pPr>
    </w:p>
    <w:p>
      <w:pPr>
        <w:ind w:left="1480" w:right="399"/>
        <w:spacing w:after="0" w:line="253" w:lineRule="auto"/>
        <w:rPr>
          <w:sz w:val="20"/>
          <w:szCs w:val="20"/>
          <w:color w:val="auto"/>
        </w:rPr>
      </w:pPr>
      <w:r>
        <w:rPr>
          <w:rFonts w:ascii="Times New Roman" w:cs="Times New Roman" w:eastAsia="Times New Roman" w:hAnsi="Times New Roman"/>
          <w:sz w:val="14"/>
          <w:szCs w:val="14"/>
          <w:color w:val="auto"/>
        </w:rPr>
        <w:t>The Exchange Notes will be issued only in minimum denominations of $1,000 and whole multiples of $1,000 thereafter. See “Description of the Exchange Notes and Guarantees—General.” We will not accept tenders of Restricted Notes if such tender would result in the holder thereof receiving in the applicable Exchange Offer an amount of Exchange Notes below the applicable minimum denomination.</w:t>
      </w:r>
    </w:p>
    <w:p>
      <w:pPr>
        <w:spacing w:after="0" w:line="1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European Economic Area</w:t>
      </w:r>
    </w:p>
    <w:p>
      <w:pPr>
        <w:spacing w:after="0" w:line="170" w:lineRule="exact"/>
        <w:rPr>
          <w:sz w:val="20"/>
          <w:szCs w:val="20"/>
          <w:color w:val="auto"/>
        </w:rPr>
      </w:pPr>
    </w:p>
    <w:p>
      <w:pPr>
        <w:ind w:left="1480" w:right="439"/>
        <w:spacing w:after="0" w:line="289" w:lineRule="auto"/>
        <w:rPr>
          <w:sz w:val="20"/>
          <w:szCs w:val="20"/>
          <w:color w:val="auto"/>
        </w:rPr>
      </w:pPr>
      <w:r>
        <w:rPr>
          <w:rFonts w:ascii="Times New Roman" w:cs="Times New Roman" w:eastAsia="Times New Roman" w:hAnsi="Times New Roman"/>
          <w:sz w:val="12"/>
          <w:szCs w:val="12"/>
          <w:color w:val="auto"/>
        </w:rPr>
        <w:t>The Exchange Notes are not intended to be offered, sold or otherwise made available to and should not be offered, sold or otherwise made available to any retail investor in the European Economic Area (“</w:t>
      </w:r>
      <w:r>
        <w:rPr>
          <w:rFonts w:ascii="Times New Roman" w:cs="Times New Roman" w:eastAsia="Times New Roman" w:hAnsi="Times New Roman"/>
          <w:sz w:val="12"/>
          <w:szCs w:val="12"/>
          <w:b w:val="1"/>
          <w:bCs w:val="1"/>
          <w:color w:val="auto"/>
        </w:rPr>
        <w:t>EEA</w:t>
      </w:r>
      <w:r>
        <w:rPr>
          <w:rFonts w:ascii="Times New Roman" w:cs="Times New Roman" w:eastAsia="Times New Roman" w:hAnsi="Times New Roman"/>
          <w:sz w:val="12"/>
          <w:szCs w:val="12"/>
          <w:color w:val="auto"/>
        </w:rPr>
        <w:t>”). For these purposes, a retail investor means a person who is one (or more) of: (i) a retail client as defined in point (11) of Article 4(1) of Directive 2014/65/EU (as amended, “</w:t>
      </w:r>
      <w:r>
        <w:rPr>
          <w:rFonts w:ascii="Times New Roman" w:cs="Times New Roman" w:eastAsia="Times New Roman" w:hAnsi="Times New Roman"/>
          <w:sz w:val="12"/>
          <w:szCs w:val="12"/>
          <w:b w:val="1"/>
          <w:bCs w:val="1"/>
          <w:color w:val="auto"/>
        </w:rPr>
        <w:t>MiFID II</w:t>
      </w:r>
      <w:r>
        <w:rPr>
          <w:rFonts w:ascii="Times New Roman" w:cs="Times New Roman" w:eastAsia="Times New Roman" w:hAnsi="Times New Roman"/>
          <w:sz w:val="12"/>
          <w:szCs w:val="12"/>
          <w:color w:val="auto"/>
        </w:rPr>
        <w:t>”); (ii) a customer within the meaning of Directive (EU) 2016/97 (as amended, the “</w:t>
      </w:r>
      <w:r>
        <w:rPr>
          <w:rFonts w:ascii="Times New Roman" w:cs="Times New Roman" w:eastAsia="Times New Roman" w:hAnsi="Times New Roman"/>
          <w:sz w:val="12"/>
          <w:szCs w:val="12"/>
          <w:b w:val="1"/>
          <w:bCs w:val="1"/>
          <w:color w:val="auto"/>
        </w:rPr>
        <w:t>Insurance Distribution Directive</w:t>
      </w:r>
      <w:r>
        <w:rPr>
          <w:rFonts w:ascii="Times New Roman" w:cs="Times New Roman" w:eastAsia="Times New Roman" w:hAnsi="Times New Roman"/>
          <w:sz w:val="12"/>
          <w:szCs w:val="12"/>
          <w:color w:val="auto"/>
        </w:rPr>
        <w:t>”), where that customer would not qualify as a professional client as defined in point</w:t>
      </w:r>
    </w:p>
    <w:p>
      <w:pPr>
        <w:ind w:left="1480" w:right="419" w:firstLine="1"/>
        <w:spacing w:after="0" w:line="243" w:lineRule="auto"/>
        <w:tabs>
          <w:tab w:leader="none" w:pos="1741"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Article 4(1) of MiFID II; or (iii) not a qualified investor as defined in Regulation (EU) 2017/1129 (as amended, the “</w:t>
      </w:r>
      <w:r>
        <w:rPr>
          <w:rFonts w:ascii="Times New Roman" w:cs="Times New Roman" w:eastAsia="Times New Roman" w:hAnsi="Times New Roman"/>
          <w:sz w:val="14"/>
          <w:szCs w:val="14"/>
          <w:b w:val="1"/>
          <w:bCs w:val="1"/>
          <w:color w:val="auto"/>
        </w:rPr>
        <w:t>Prospectus Regulation</w:t>
      </w:r>
      <w:r>
        <w:rPr>
          <w:rFonts w:ascii="Times New Roman" w:cs="Times New Roman" w:eastAsia="Times New Roman" w:hAnsi="Times New Roman"/>
          <w:sz w:val="14"/>
          <w:szCs w:val="14"/>
          <w:color w:val="auto"/>
        </w:rPr>
        <w:t>”). Consequently no key information document required by Regulation (EU) No 1286/2014 (as amended, the “</w:t>
      </w:r>
      <w:r>
        <w:rPr>
          <w:rFonts w:ascii="Times New Roman" w:cs="Times New Roman" w:eastAsia="Times New Roman" w:hAnsi="Times New Roman"/>
          <w:sz w:val="14"/>
          <w:szCs w:val="14"/>
          <w:b w:val="1"/>
          <w:bCs w:val="1"/>
          <w:color w:val="auto"/>
        </w:rPr>
        <w:t>PRIIPs Regulation</w:t>
      </w:r>
      <w:r>
        <w:rPr>
          <w:rFonts w:ascii="Times New Roman" w:cs="Times New Roman" w:eastAsia="Times New Roman" w:hAnsi="Times New Roman"/>
          <w:sz w:val="14"/>
          <w:szCs w:val="14"/>
          <w:color w:val="auto"/>
        </w:rPr>
        <w:t>”) for offering or selling the Exchange Notes or otherwise making them available to retail investors in the EEA has been prepared and therefore offering or selling the Exchange Notes or otherwise making them available to any retail investor in the EEA may be unlawful under the PRIIPs Regulation. This prospectus has been prepared on the basis that any offer of Exchange Notes in any Member State of the EEA will be made pursuant to an exemption under the Prospectus Regulation from the requirement to publish a prospectus for offers of Exchange Notes. This prospectus is not a prospectus for the purposes of the Prospectus Regulation.</w:t>
      </w:r>
    </w:p>
    <w:p>
      <w:pPr>
        <w:spacing w:after="0" w:line="14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Belgium</w:t>
      </w:r>
    </w:p>
    <w:p>
      <w:pPr>
        <w:spacing w:after="0" w:line="170" w:lineRule="exact"/>
        <w:rPr>
          <w:sz w:val="20"/>
          <w:szCs w:val="20"/>
          <w:color w:val="auto"/>
        </w:rPr>
      </w:pPr>
    </w:p>
    <w:p>
      <w:pPr>
        <w:ind w:left="1480" w:right="359"/>
        <w:spacing w:after="0" w:line="246" w:lineRule="auto"/>
        <w:rPr>
          <w:sz w:val="20"/>
          <w:szCs w:val="20"/>
          <w:color w:val="auto"/>
        </w:rPr>
      </w:pPr>
      <w:r>
        <w:rPr>
          <w:rFonts w:ascii="Times New Roman" w:cs="Times New Roman" w:eastAsia="Times New Roman" w:hAnsi="Times New Roman"/>
          <w:sz w:val="14"/>
          <w:szCs w:val="14"/>
          <w:color w:val="auto"/>
        </w:rPr>
        <w:t>Neither the prospectus nor any other documents or materials relating to the Exchange Offers have been submitted to or will be submitted for approval or recognition to the Belgian Financial Services and Markets Authority (“</w:t>
      </w:r>
      <w:r>
        <w:rPr>
          <w:rFonts w:ascii="Times New Roman" w:cs="Times New Roman" w:eastAsia="Times New Roman" w:hAnsi="Times New Roman"/>
          <w:sz w:val="14"/>
          <w:szCs w:val="14"/>
          <w:i w:val="1"/>
          <w:iCs w:val="1"/>
          <w:color w:val="auto"/>
        </w:rPr>
        <w:t>Autorité des services et marchés financiers”/”Autoriteit voor Financiële Diensten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en Markten</w:t>
      </w:r>
      <w:r>
        <w:rPr>
          <w:rFonts w:ascii="Times New Roman" w:cs="Times New Roman" w:eastAsia="Times New Roman" w:hAnsi="Times New Roman"/>
          <w:sz w:val="14"/>
          <w:szCs w:val="14"/>
          <w:color w:val="auto"/>
        </w:rPr>
        <w:t>”). The Exchange Offers are not being, and may not be, made in Belgium by way of a public offering, as defined in Articles 3, §1, 1° and 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 of the Belgian Law of April 1, 2007 on public takeover bids (“</w:t>
      </w:r>
      <w:r>
        <w:rPr>
          <w:rFonts w:ascii="Times New Roman" w:cs="Times New Roman" w:eastAsia="Times New Roman" w:hAnsi="Times New Roman"/>
          <w:sz w:val="14"/>
          <w:szCs w:val="14"/>
          <w:i w:val="1"/>
          <w:iCs w:val="1"/>
          <w:color w:val="auto"/>
        </w:rPr>
        <w:t>loi relative aux offres publiques d’acquisition”/”wet op de openbare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overnamebiedingen</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b w:val="1"/>
          <w:bCs w:val="1"/>
          <w:color w:val="auto"/>
        </w:rPr>
        <w:t>Belgian Takeover Law</w:t>
      </w:r>
      <w:r>
        <w:rPr>
          <w:rFonts w:ascii="Times New Roman" w:cs="Times New Roman" w:eastAsia="Times New Roman" w:hAnsi="Times New Roman"/>
          <w:sz w:val="14"/>
          <w:szCs w:val="14"/>
          <w:color w:val="auto"/>
        </w:rPr>
        <w:t>”) or as defined in Article 3, §1 of the Belgian Law of June 16, 2006 on the public offer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 instruments and the admission to trading of investment instruments on a regulated market (“</w:t>
      </w:r>
      <w:r>
        <w:rPr>
          <w:rFonts w:ascii="Times New Roman" w:cs="Times New Roman" w:eastAsia="Times New Roman" w:hAnsi="Times New Roman"/>
          <w:sz w:val="14"/>
          <w:szCs w:val="14"/>
          <w:i w:val="1"/>
          <w:iCs w:val="1"/>
          <w:color w:val="auto"/>
        </w:rPr>
        <w:t>loi relative aux offres publiques d’instruments de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placement et aux admissions d’instruments de placement à la négociation sur des marchés</w:t>
      </w:r>
    </w:p>
    <w:p>
      <w:pPr>
        <w:spacing w:after="0" w:line="1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78"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9" w:lineRule="exact"/>
        <w:rPr>
          <w:sz w:val="20"/>
          <w:szCs w:val="20"/>
          <w:color w:val="auto"/>
        </w:rPr>
      </w:pPr>
    </w:p>
    <w:p>
      <w:pPr>
        <w:ind w:left="1480" w:right="379"/>
        <w:spacing w:after="0" w:line="246" w:lineRule="auto"/>
        <w:rPr>
          <w:sz w:val="20"/>
          <w:szCs w:val="20"/>
          <w:color w:val="auto"/>
        </w:rPr>
      </w:pPr>
      <w:r>
        <w:rPr>
          <w:rFonts w:ascii="Times New Roman" w:cs="Times New Roman" w:eastAsia="Times New Roman" w:hAnsi="Times New Roman"/>
          <w:sz w:val="14"/>
          <w:szCs w:val="14"/>
          <w:i w:val="1"/>
          <w:iCs w:val="1"/>
          <w:color w:val="auto"/>
        </w:rPr>
        <w:t>réglementés”/”wet op de openbare aanbieding van beleggingsinstrumenten en de toelating van beleggingsinstrumenten tot de verhandeling op een gereglementeerde markt</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b w:val="1"/>
          <w:bCs w:val="1"/>
          <w:color w:val="auto"/>
        </w:rPr>
        <w:t>Belgian Prospectus Law</w:t>
      </w:r>
      <w:r>
        <w:rPr>
          <w:rFonts w:ascii="Times New Roman" w:cs="Times New Roman" w:eastAsia="Times New Roman" w:hAnsi="Times New Roman"/>
          <w:sz w:val="14"/>
          <w:szCs w:val="14"/>
          <w:color w:val="auto"/>
        </w:rPr>
        <w:t>”), both as amended or replaced from time to time. Accordingly, the Exchange Offers may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 and are not being, advertised and the Exchange Offers will not be extended, and neither the prospectus nor any other documents or materials relating to the Exchange Offers (including any memorandum, information circular, brochure or any similar documents) has been or shall be distributed or made available, directly or indirectly, to any person in Belgium other than (i) to persons which are “qualified investors” (“</w:t>
      </w:r>
      <w:r>
        <w:rPr>
          <w:rFonts w:ascii="Times New Roman" w:cs="Times New Roman" w:eastAsia="Times New Roman" w:hAnsi="Times New Roman"/>
          <w:sz w:val="14"/>
          <w:szCs w:val="14"/>
          <w:i w:val="1"/>
          <w:iCs w:val="1"/>
          <w:color w:val="auto"/>
        </w:rPr>
        <w:t>investisseurs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qualifiés”/”gekwalificeerde beleggers</w:t>
      </w:r>
      <w:r>
        <w:rPr>
          <w:rFonts w:ascii="Times New Roman" w:cs="Times New Roman" w:eastAsia="Times New Roman" w:hAnsi="Times New Roman"/>
          <w:sz w:val="14"/>
          <w:szCs w:val="14"/>
          <w:color w:val="auto"/>
        </w:rPr>
        <w:t>”) as defined in Article 10, §1 of the Belgian Prospectus Law, acting on their own account, as referred to in Article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6, §3 of the Belgian Takeover Law or (ii) in any other circumstances set out in Article 6, §4 of the Belgian Takeover Law and Article 3, §4 of the Belgian Prospectus Law. The prospectus has been issued only for the personal use of the above qualified investors and exclusively for the purpose of the Exchange Offers. Accordingly, the information contained in the prospectus or in any other documents or materials relating to the Exchange Offers may not be used for any other purpose or disclosed or distributed to any other person in Belgium.</w:t>
      </w:r>
    </w:p>
    <w:p>
      <w:pPr>
        <w:spacing w:after="0" w:line="1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France</w:t>
      </w:r>
    </w:p>
    <w:p>
      <w:pPr>
        <w:spacing w:after="0" w:line="170" w:lineRule="exact"/>
        <w:rPr>
          <w:sz w:val="20"/>
          <w:szCs w:val="20"/>
          <w:color w:val="auto"/>
        </w:rPr>
      </w:pPr>
    </w:p>
    <w:p>
      <w:pPr>
        <w:ind w:left="1480" w:right="439"/>
        <w:spacing w:after="0" w:line="246" w:lineRule="auto"/>
        <w:rPr>
          <w:sz w:val="20"/>
          <w:szCs w:val="20"/>
          <w:color w:val="auto"/>
        </w:rPr>
      </w:pPr>
      <w:r>
        <w:rPr>
          <w:rFonts w:ascii="Times New Roman" w:cs="Times New Roman" w:eastAsia="Times New Roman" w:hAnsi="Times New Roman"/>
          <w:sz w:val="14"/>
          <w:szCs w:val="14"/>
          <w:color w:val="auto"/>
        </w:rPr>
        <w:t>The Exchange Offers are not being made, directly or indirectly, to the public in the Republic of France. Neither the prospectus nor any other documents or materials relating to the Exchange Offers have been or shall be distributed to the public in France and only (i) providers of investment services relating to portfolio management for the account of third parties (“</w:t>
      </w:r>
      <w:r>
        <w:rPr>
          <w:rFonts w:ascii="Times New Roman" w:cs="Times New Roman" w:eastAsia="Times New Roman" w:hAnsi="Times New Roman"/>
          <w:sz w:val="14"/>
          <w:szCs w:val="14"/>
          <w:i w:val="1"/>
          <w:iCs w:val="1"/>
          <w:color w:val="auto"/>
        </w:rPr>
        <w:t>personnes fournissant le service d’investissement de gestion de portefeuille pour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compte de tiers”</w:t>
      </w:r>
      <w:r>
        <w:rPr>
          <w:rFonts w:ascii="Times New Roman" w:cs="Times New Roman" w:eastAsia="Times New Roman" w:hAnsi="Times New Roman"/>
          <w:sz w:val="14"/>
          <w:szCs w:val="14"/>
          <w:color w:val="auto"/>
        </w:rPr>
        <w:t>) and/or (ii) qualified investors (“</w:t>
      </w:r>
      <w:r>
        <w:rPr>
          <w:rFonts w:ascii="Times New Roman" w:cs="Times New Roman" w:eastAsia="Times New Roman" w:hAnsi="Times New Roman"/>
          <w:sz w:val="14"/>
          <w:szCs w:val="14"/>
          <w:i w:val="1"/>
          <w:iCs w:val="1"/>
          <w:color w:val="auto"/>
        </w:rPr>
        <w:t>investisseurs qualifiés”</w:t>
      </w:r>
      <w:r>
        <w:rPr>
          <w:rFonts w:ascii="Times New Roman" w:cs="Times New Roman" w:eastAsia="Times New Roman" w:hAnsi="Times New Roman"/>
          <w:sz w:val="14"/>
          <w:szCs w:val="14"/>
          <w:color w:val="auto"/>
        </w:rPr>
        <w:t>) other than individuals, in each case acting on their own account and all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defined in, and in accordance with, Articles L.411-1, L.411-2, D.321-1 and D.411-1 of the French </w:t>
      </w:r>
      <w:r>
        <w:rPr>
          <w:rFonts w:ascii="Times New Roman" w:cs="Times New Roman" w:eastAsia="Times New Roman" w:hAnsi="Times New Roman"/>
          <w:sz w:val="14"/>
          <w:szCs w:val="14"/>
          <w:i w:val="1"/>
          <w:iCs w:val="1"/>
          <w:color w:val="auto"/>
        </w:rPr>
        <w:t>Code Monétaire et Financier</w:t>
      </w:r>
      <w:r>
        <w:rPr>
          <w:rFonts w:ascii="Times New Roman" w:cs="Times New Roman" w:eastAsia="Times New Roman" w:hAnsi="Times New Roman"/>
          <w:sz w:val="14"/>
          <w:szCs w:val="14"/>
          <w:color w:val="auto"/>
        </w:rPr>
        <w:t xml:space="preserve">, are eligible to participate in the Exchange Offers. The prospectus and any other document or material relating to the Exchange Offers have not been and will not be submitted for clearance to nor approved by the </w:t>
      </w:r>
      <w:r>
        <w:rPr>
          <w:rFonts w:ascii="Times New Roman" w:cs="Times New Roman" w:eastAsia="Times New Roman" w:hAnsi="Times New Roman"/>
          <w:sz w:val="14"/>
          <w:szCs w:val="14"/>
          <w:i w:val="1"/>
          <w:iCs w:val="1"/>
          <w:color w:val="auto"/>
        </w:rPr>
        <w:t>Autorité des marchés financiers</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Italy</w:t>
      </w:r>
    </w:p>
    <w:p>
      <w:pPr>
        <w:spacing w:after="0" w:line="170" w:lineRule="exact"/>
        <w:rPr>
          <w:sz w:val="20"/>
          <w:szCs w:val="20"/>
          <w:color w:val="auto"/>
        </w:rPr>
      </w:pPr>
    </w:p>
    <w:p>
      <w:pPr>
        <w:ind w:left="1480" w:right="359"/>
        <w:spacing w:after="0" w:line="244" w:lineRule="auto"/>
        <w:rPr>
          <w:sz w:val="20"/>
          <w:szCs w:val="20"/>
          <w:color w:val="auto"/>
        </w:rPr>
      </w:pPr>
      <w:r>
        <w:rPr>
          <w:rFonts w:ascii="Times New Roman" w:cs="Times New Roman" w:eastAsia="Times New Roman" w:hAnsi="Times New Roman"/>
          <w:sz w:val="14"/>
          <w:szCs w:val="14"/>
          <w:color w:val="auto"/>
        </w:rPr>
        <w:t xml:space="preserve">None of the Exchange Offers, the prospectus or any other documents or materials relating to the Exchange Offers or the Exchange Notes have been or will be submitted to the clearance procedure of the </w:t>
      </w:r>
      <w:r>
        <w:rPr>
          <w:rFonts w:ascii="Times New Roman" w:cs="Times New Roman" w:eastAsia="Times New Roman" w:hAnsi="Times New Roman"/>
          <w:sz w:val="14"/>
          <w:szCs w:val="14"/>
          <w:i w:val="1"/>
          <w:iCs w:val="1"/>
          <w:color w:val="auto"/>
        </w:rPr>
        <w:t>Commissione Nazionale per le Società e la Borsa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CONSOB</w:t>
      </w:r>
      <w:r>
        <w:rPr>
          <w:rFonts w:ascii="Times New Roman" w:cs="Times New Roman" w:eastAsia="Times New Roman" w:hAnsi="Times New Roman"/>
          <w:sz w:val="14"/>
          <w:szCs w:val="14"/>
          <w:color w:val="auto"/>
        </w:rPr>
        <w:t>”). The Exchange Offers are being carried out in the Republic of Italy as exempted offers pursuant to article 101-</w:t>
      </w:r>
      <w:r>
        <w:rPr>
          <w:rFonts w:ascii="Times New Roman" w:cs="Times New Roman" w:eastAsia="Times New Roman" w:hAnsi="Times New Roman"/>
          <w:sz w:val="14"/>
          <w:szCs w:val="14"/>
          <w:i w:val="1"/>
          <w:iCs w:val="1"/>
          <w:color w:val="auto"/>
        </w:rPr>
        <w:t>bis</w:t>
      </w:r>
      <w:r>
        <w:rPr>
          <w:rFonts w:ascii="Times New Roman" w:cs="Times New Roman" w:eastAsia="Times New Roman" w:hAnsi="Times New Roman"/>
          <w:sz w:val="14"/>
          <w:szCs w:val="14"/>
          <w:color w:val="auto"/>
        </w:rPr>
        <w:t>, paragraph 3-</w:t>
      </w:r>
      <w:r>
        <w:rPr>
          <w:rFonts w:ascii="Times New Roman" w:cs="Times New Roman" w:eastAsia="Times New Roman" w:hAnsi="Times New Roman"/>
          <w:sz w:val="14"/>
          <w:szCs w:val="14"/>
          <w:i w:val="1"/>
          <w:iCs w:val="1"/>
          <w:color w:val="auto"/>
        </w:rPr>
        <w:t>bis</w:t>
      </w:r>
      <w:r>
        <w:rPr>
          <w:rFonts w:ascii="Times New Roman" w:cs="Times New Roman" w:eastAsia="Times New Roman" w:hAnsi="Times New Roman"/>
          <w:sz w:val="14"/>
          <w:szCs w:val="14"/>
          <w:color w:val="auto"/>
        </w:rPr>
        <w:t xml:space="preserve"> of the Legislative Decree No. 58 of 24 February 1998, as amended (the “</w:t>
      </w:r>
      <w:r>
        <w:rPr>
          <w:rFonts w:ascii="Times New Roman" w:cs="Times New Roman" w:eastAsia="Times New Roman" w:hAnsi="Times New Roman"/>
          <w:sz w:val="14"/>
          <w:szCs w:val="14"/>
          <w:b w:val="1"/>
          <w:bCs w:val="1"/>
          <w:color w:val="auto"/>
        </w:rPr>
        <w:t>Financial Services Act</w:t>
      </w:r>
      <w:r>
        <w:rPr>
          <w:rFonts w:ascii="Times New Roman" w:cs="Times New Roman" w:eastAsia="Times New Roman" w:hAnsi="Times New Roman"/>
          <w:sz w:val="14"/>
          <w:szCs w:val="14"/>
          <w:color w:val="auto"/>
        </w:rPr>
        <w:t>”) and article 35-</w:t>
      </w:r>
      <w:r>
        <w:rPr>
          <w:rFonts w:ascii="Times New Roman" w:cs="Times New Roman" w:eastAsia="Times New Roman" w:hAnsi="Times New Roman"/>
          <w:sz w:val="14"/>
          <w:szCs w:val="14"/>
          <w:i w:val="1"/>
          <w:iCs w:val="1"/>
          <w:color w:val="auto"/>
        </w:rPr>
        <w:t>bis</w:t>
      </w:r>
      <w:r>
        <w:rPr>
          <w:rFonts w:ascii="Times New Roman" w:cs="Times New Roman" w:eastAsia="Times New Roman" w:hAnsi="Times New Roman"/>
          <w:sz w:val="14"/>
          <w:szCs w:val="14"/>
          <w:color w:val="auto"/>
        </w:rPr>
        <w:t>, paragraph 3, of CONSOB Regulation No. 11971 of 14 May 1999, as amended (the “</w:t>
      </w:r>
      <w:r>
        <w:rPr>
          <w:rFonts w:ascii="Times New Roman" w:cs="Times New Roman" w:eastAsia="Times New Roman" w:hAnsi="Times New Roman"/>
          <w:sz w:val="14"/>
          <w:szCs w:val="14"/>
          <w:b w:val="1"/>
          <w:bCs w:val="1"/>
          <w:color w:val="auto"/>
        </w:rPr>
        <w:t>Issuers’ Regulation</w:t>
      </w:r>
      <w:r>
        <w:rPr>
          <w:rFonts w:ascii="Times New Roman" w:cs="Times New Roman" w:eastAsia="Times New Roman" w:hAnsi="Times New Roman"/>
          <w:sz w:val="14"/>
          <w:szCs w:val="14"/>
          <w:color w:val="auto"/>
        </w:rPr>
        <w:t>”) and, therefore, are intended for, and directed only at, qualified investors (</w:t>
      </w:r>
      <w:r>
        <w:rPr>
          <w:rFonts w:ascii="Times New Roman" w:cs="Times New Roman" w:eastAsia="Times New Roman" w:hAnsi="Times New Roman"/>
          <w:sz w:val="14"/>
          <w:szCs w:val="14"/>
          <w:i w:val="1"/>
          <w:iCs w:val="1"/>
          <w:color w:val="auto"/>
        </w:rPr>
        <w:t>investitori qualificati</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b w:val="1"/>
          <w:bCs w:val="1"/>
          <w:color w:val="auto"/>
        </w:rPr>
        <w:t>Italian Qualified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Investors</w:t>
      </w:r>
      <w:r>
        <w:rPr>
          <w:rFonts w:ascii="Times New Roman" w:cs="Times New Roman" w:eastAsia="Times New Roman" w:hAnsi="Times New Roman"/>
          <w:sz w:val="14"/>
          <w:szCs w:val="14"/>
          <w:color w:val="auto"/>
        </w:rPr>
        <w:t>”), as defined pursuant to Article 100, paragraph 1, letter (a) of the Financial Services Act and Article 34-</w:t>
      </w:r>
      <w:r>
        <w:rPr>
          <w:rFonts w:ascii="Times New Roman" w:cs="Times New Roman" w:eastAsia="Times New Roman" w:hAnsi="Times New Roman"/>
          <w:sz w:val="14"/>
          <w:szCs w:val="14"/>
          <w:i w:val="1"/>
          <w:iCs w:val="1"/>
          <w:color w:val="auto"/>
        </w:rPr>
        <w:t>ter</w:t>
      </w:r>
      <w:r>
        <w:rPr>
          <w:rFonts w:ascii="Times New Roman" w:cs="Times New Roman" w:eastAsia="Times New Roman" w:hAnsi="Times New Roman"/>
          <w:sz w:val="14"/>
          <w:szCs w:val="14"/>
          <w:color w:val="auto"/>
        </w:rPr>
        <w:t>, paragraph 1, letter (b)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Issuers’ Regulation. Accordingly, the Exchange Offers cannot be promoted, nor may copies of any document related thereto or to the Exchange Notes be distributed, mailed or otherwise forwarded, or sent, to the public in Italy, whether by mail or by any means or other instrument (including, without limitation, telephonically or electronically) or any facility of a national securities exchange available in Italy, other than to Italian Qualified Investors. Persons receiving this prospectus must not forward, distribute or send it in or into or from Italy. Noteholders or beneficial owners of the Restricted Notes that are resident or located in Italy can offer to exchange the notes pursuant to the Exchange Offers through authorized persons (such as investment firms, banks or financial intermediaries permitted to conduct such activities in Italy in accordance with the Financial Services Act, CONSOB Regulation No. 16190 of 29 October 2007, as amended from time to time, and Legislative Decree No. 385 of 1 September 1993, as amended) and in compliance with applicable laws and regulations or with requirements imposed by CONSOB or any other Italian authority. Each intermediary must comply with the applicable laws and regulations concerning information duties vis-à-vis its clients in connection with the Restricted Notes, the Exchange Notes, the Exchange Offers or the prospectus.</w:t>
      </w:r>
    </w:p>
    <w:p>
      <w:pPr>
        <w:spacing w:after="0" w:line="1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78"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United Kingdom</w:t>
      </w:r>
    </w:p>
    <w:p>
      <w:pPr>
        <w:spacing w:after="0" w:line="170" w:lineRule="exact"/>
        <w:rPr>
          <w:sz w:val="20"/>
          <w:szCs w:val="20"/>
          <w:color w:val="auto"/>
        </w:rPr>
      </w:pPr>
    </w:p>
    <w:p>
      <w:pPr>
        <w:ind w:left="1480" w:right="359"/>
        <w:spacing w:after="0" w:line="246" w:lineRule="auto"/>
        <w:rPr>
          <w:sz w:val="20"/>
          <w:szCs w:val="20"/>
          <w:color w:val="auto"/>
        </w:rPr>
      </w:pPr>
      <w:r>
        <w:rPr>
          <w:rFonts w:ascii="Times New Roman" w:cs="Times New Roman" w:eastAsia="Times New Roman" w:hAnsi="Times New Roman"/>
          <w:sz w:val="14"/>
          <w:szCs w:val="14"/>
          <w:color w:val="auto"/>
        </w:rPr>
        <w:t>The Exchange Notes are not intended to be offered, sold, distributed or otherwise made available to and should not be offered, sold, distributed or otherwise made available to any retail investor in the United Kingdom (“</w:t>
      </w:r>
      <w:r>
        <w:rPr>
          <w:rFonts w:ascii="Times New Roman" w:cs="Times New Roman" w:eastAsia="Times New Roman" w:hAnsi="Times New Roman"/>
          <w:sz w:val="14"/>
          <w:szCs w:val="14"/>
          <w:b w:val="1"/>
          <w:bCs w:val="1"/>
          <w:color w:val="auto"/>
        </w:rPr>
        <w:t>UK</w:t>
      </w:r>
      <w:r>
        <w:rPr>
          <w:rFonts w:ascii="Times New Roman" w:cs="Times New Roman" w:eastAsia="Times New Roman" w:hAnsi="Times New Roman"/>
          <w:sz w:val="14"/>
          <w:szCs w:val="14"/>
          <w:color w:val="auto"/>
        </w:rPr>
        <w:t>”). For these purposes, a retail investor means a person who is either one (or both) of the following: (i) not a professional client, as defined in point (8) of Article 2(1) of Regulation (EU) No 600/2014 as it forms part of domestic law by virtue of the European Union (Withdrawal) Act 2018 (“</w:t>
      </w:r>
      <w:r>
        <w:rPr>
          <w:rFonts w:ascii="Times New Roman" w:cs="Times New Roman" w:eastAsia="Times New Roman" w:hAnsi="Times New Roman"/>
          <w:sz w:val="14"/>
          <w:szCs w:val="14"/>
          <w:b w:val="1"/>
          <w:bCs w:val="1"/>
          <w:color w:val="auto"/>
        </w:rPr>
        <w:t>EUWA</w:t>
      </w:r>
      <w:r>
        <w:rPr>
          <w:rFonts w:ascii="Times New Roman" w:cs="Times New Roman" w:eastAsia="Times New Roman" w:hAnsi="Times New Roman"/>
          <w:sz w:val="14"/>
          <w:szCs w:val="14"/>
          <w:color w:val="auto"/>
        </w:rPr>
        <w:t>”); or (ii) not a qualified investor as defined in paragraph 15 of Schedule 1 to the Public Offers and Admissions to Trading Regulations 2024. Consequently no disclosure document required by the FCA Product Disclosure Sourcebook (“</w:t>
      </w:r>
      <w:r>
        <w:rPr>
          <w:rFonts w:ascii="Times New Roman" w:cs="Times New Roman" w:eastAsia="Times New Roman" w:hAnsi="Times New Roman"/>
          <w:sz w:val="14"/>
          <w:szCs w:val="14"/>
          <w:b w:val="1"/>
          <w:bCs w:val="1"/>
          <w:color w:val="auto"/>
        </w:rPr>
        <w:t>DISC</w:t>
      </w:r>
      <w:r>
        <w:rPr>
          <w:rFonts w:ascii="Times New Roman" w:cs="Times New Roman" w:eastAsia="Times New Roman" w:hAnsi="Times New Roman"/>
          <w:sz w:val="14"/>
          <w:szCs w:val="14"/>
          <w:color w:val="auto"/>
        </w:rPr>
        <w:t>”) for offering, selling or distributing the Exchange Notes or otherwise making them available to retail investors in the UK has been prepared and therefore offering or, selling or distributing the Exchange Notes or otherwise making them available to any retail investor in the UK may be unlawful under the DISC and the Consumer Composite Investments (Designated Activities) Regulations 2024.</w:t>
      </w:r>
    </w:p>
    <w:p>
      <w:pPr>
        <w:spacing w:after="0" w:line="149" w:lineRule="exact"/>
        <w:rPr>
          <w:sz w:val="20"/>
          <w:szCs w:val="20"/>
          <w:color w:val="auto"/>
        </w:rPr>
      </w:pPr>
    </w:p>
    <w:p>
      <w:pPr>
        <w:ind w:left="1480" w:right="419"/>
        <w:spacing w:after="0" w:line="247" w:lineRule="auto"/>
        <w:rPr>
          <w:sz w:val="20"/>
          <w:szCs w:val="20"/>
          <w:color w:val="auto"/>
        </w:rPr>
      </w:pPr>
      <w:r>
        <w:rPr>
          <w:rFonts w:ascii="Times New Roman" w:cs="Times New Roman" w:eastAsia="Times New Roman" w:hAnsi="Times New Roman"/>
          <w:sz w:val="14"/>
          <w:szCs w:val="14"/>
          <w:color w:val="auto"/>
        </w:rPr>
        <w:t>This prospectus is only being distributed to and is only directed at (i) persons who are outside the U.K. or (ii) investment professionals falling within Article 19(5) of the Financial Services and Markets Act 2000 (Financial Promotion) Order 2005 (the “</w:t>
      </w:r>
      <w:r>
        <w:rPr>
          <w:rFonts w:ascii="Times New Roman" w:cs="Times New Roman" w:eastAsia="Times New Roman" w:hAnsi="Times New Roman"/>
          <w:sz w:val="14"/>
          <w:szCs w:val="14"/>
          <w:b w:val="1"/>
          <w:bCs w:val="1"/>
          <w:color w:val="auto"/>
        </w:rPr>
        <w:t>Order</w:t>
      </w:r>
      <w:r>
        <w:rPr>
          <w:rFonts w:ascii="Times New Roman" w:cs="Times New Roman" w:eastAsia="Times New Roman" w:hAnsi="Times New Roman"/>
          <w:sz w:val="14"/>
          <w:szCs w:val="14"/>
          <w:color w:val="auto"/>
        </w:rPr>
        <w:t>”) or (iii) high net worth entities, and other persons to whom it may lawfully be communicated, falling within Article 49(2)(a) to (d) of the Order (all such persons together being referred to as “relevant persons”). The Exchange Notes are only available to, and any invitation, offer or agreement to subscribe, purchase or otherwise acquire the Exchange Notes will be engaged in only with, relevant persons. Any person who is not a relevant person should not act or rely on this document or any of its contents.</w:t>
      </w:r>
    </w:p>
    <w:p>
      <w:pPr>
        <w:spacing w:after="0" w:line="1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Hong Kong</w:t>
      </w:r>
    </w:p>
    <w:p>
      <w:pPr>
        <w:spacing w:after="0" w:line="170" w:lineRule="exact"/>
        <w:rPr>
          <w:sz w:val="20"/>
          <w:szCs w:val="20"/>
          <w:color w:val="auto"/>
        </w:rPr>
      </w:pPr>
    </w:p>
    <w:p>
      <w:pPr>
        <w:ind w:left="1480" w:right="399"/>
        <w:spacing w:after="0" w:line="246" w:lineRule="auto"/>
        <w:rPr>
          <w:sz w:val="20"/>
          <w:szCs w:val="20"/>
          <w:color w:val="auto"/>
        </w:rPr>
      </w:pPr>
      <w:r>
        <w:rPr>
          <w:rFonts w:ascii="Times New Roman" w:cs="Times New Roman" w:eastAsia="Times New Roman" w:hAnsi="Times New Roman"/>
          <w:sz w:val="14"/>
          <w:szCs w:val="14"/>
          <w:color w:val="auto"/>
        </w:rPr>
        <w:t>The Exchange Notes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Exchange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Exchange Notes which are or are intended to be disposed of only to persons outside Hong Kong or only to “professional investors” within the meaning of the Securities and Futures Ordinance (Cap. 571, Laws of Hong Kong) and any rules made thereunder.</w:t>
      </w:r>
    </w:p>
    <w:p>
      <w:pPr>
        <w:spacing w:after="0" w:line="14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Japan</w:t>
      </w:r>
    </w:p>
    <w:p>
      <w:pPr>
        <w:spacing w:after="0" w:line="170" w:lineRule="exact"/>
        <w:rPr>
          <w:sz w:val="20"/>
          <w:szCs w:val="20"/>
          <w:color w:val="auto"/>
        </w:rPr>
      </w:pPr>
    </w:p>
    <w:p>
      <w:pPr>
        <w:ind w:left="1480" w:right="499"/>
        <w:spacing w:after="0" w:line="264" w:lineRule="auto"/>
        <w:rPr>
          <w:sz w:val="20"/>
          <w:szCs w:val="20"/>
          <w:color w:val="auto"/>
        </w:rPr>
      </w:pPr>
      <w:r>
        <w:rPr>
          <w:rFonts w:ascii="Times New Roman" w:cs="Times New Roman" w:eastAsia="Times New Roman" w:hAnsi="Times New Roman"/>
          <w:sz w:val="14"/>
          <w:szCs w:val="14"/>
          <w:color w:val="auto"/>
        </w:rPr>
        <w:t>The Exchange Notes have not been and will not be registered under the Financial Instruments and Exchange Law of Japan (the “Financial Instruments and Exchange Law”).</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Singapore</w:t>
      </w:r>
    </w:p>
    <w:p>
      <w:pPr>
        <w:spacing w:after="0" w:line="170" w:lineRule="exact"/>
        <w:rPr>
          <w:sz w:val="20"/>
          <w:szCs w:val="20"/>
          <w:color w:val="auto"/>
        </w:rPr>
      </w:pPr>
    </w:p>
    <w:p>
      <w:pPr>
        <w:ind w:left="1480" w:right="439"/>
        <w:spacing w:after="0" w:line="294" w:lineRule="auto"/>
        <w:rPr>
          <w:sz w:val="20"/>
          <w:szCs w:val="20"/>
          <w:color w:val="auto"/>
        </w:rPr>
      </w:pPr>
      <w:r>
        <w:rPr>
          <w:rFonts w:ascii="Times New Roman" w:cs="Times New Roman" w:eastAsia="Times New Roman" w:hAnsi="Times New Roman"/>
          <w:sz w:val="12"/>
          <w:szCs w:val="12"/>
          <w:color w:val="auto"/>
        </w:rPr>
        <w:t>This prospectus has not been registered as a prospectus with the Monetary Authority of Singapore. Accordingly, and if the Issuer has not notified the dealer(s) on the classification of the Exchange Notes under and pursuant to Section 309(B)(1) of the Securities and Futures Act, Chapter 289 Singapore (the “</w:t>
      </w:r>
      <w:r>
        <w:rPr>
          <w:rFonts w:ascii="Times New Roman" w:cs="Times New Roman" w:eastAsia="Times New Roman" w:hAnsi="Times New Roman"/>
          <w:sz w:val="12"/>
          <w:szCs w:val="12"/>
          <w:b w:val="1"/>
          <w:bCs w:val="1"/>
          <w:color w:val="auto"/>
        </w:rPr>
        <w:t>SFA</w:t>
      </w:r>
      <w:r>
        <w:rPr>
          <w:rFonts w:ascii="Times New Roman" w:cs="Times New Roman" w:eastAsia="Times New Roman" w:hAnsi="Times New Roman"/>
          <w:sz w:val="12"/>
          <w:szCs w:val="12"/>
          <w:color w:val="auto"/>
        </w:rPr>
        <w:t>”), this prospectus and any other document or material in connection with the offer or sale, or invitation for subscription or purchase, of the Exchange Notes may not be circulated or distributed, nor may the Exchange Notes be offered or sold, or be made the subject of an invitation for subscription or purchase, whether directly or indirectly, to persons in Singapore other than (i) to an institutional investor under Section 274 of Chapter 289 of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378"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419"/>
        <w:spacing w:after="0" w:line="294" w:lineRule="auto"/>
        <w:rPr>
          <w:sz w:val="20"/>
          <w:szCs w:val="20"/>
          <w:color w:val="auto"/>
        </w:rPr>
      </w:pPr>
      <w:r>
        <w:rPr>
          <w:rFonts w:ascii="Times New Roman" w:cs="Times New Roman" w:eastAsia="Times New Roman" w:hAnsi="Times New Roman"/>
          <w:sz w:val="12"/>
          <w:szCs w:val="12"/>
          <w:color w:val="auto"/>
        </w:rPr>
        <w:t>Where the Exchange Notes are subscribed or purchased under Section 275 of the SFA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Exchange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23" w:lineRule="exact"/>
        <w:rPr>
          <w:sz w:val="20"/>
          <w:szCs w:val="20"/>
          <w:color w:val="auto"/>
        </w:rPr>
      </w:pPr>
    </w:p>
    <w:p>
      <w:pPr>
        <w:ind w:left="1480" w:right="439"/>
        <w:spacing w:after="0" w:line="248" w:lineRule="auto"/>
        <w:rPr>
          <w:sz w:val="20"/>
          <w:szCs w:val="20"/>
          <w:color w:val="auto"/>
        </w:rPr>
      </w:pPr>
      <w:r>
        <w:rPr>
          <w:rFonts w:ascii="Times New Roman" w:cs="Times New Roman" w:eastAsia="Times New Roman" w:hAnsi="Times New Roman"/>
          <w:sz w:val="14"/>
          <w:szCs w:val="14"/>
          <w:color w:val="auto"/>
        </w:rPr>
        <w:t>Singapore Securities and Futures Act Product Classification—Solely for the purposes of its obligations pursuant to sections 309B(1)(a) and 309B(1)(c) of the SFA, the Issuer has determined, and hereby notifies all relevant persons (as defined in Section 309A of the SFA) that the Exchange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78"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VALIDITY OF NOTES</w:t>
      </w:r>
    </w:p>
    <w:p>
      <w:pPr>
        <w:spacing w:after="0" w:line="1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The validity of the Exchange Notes and Guarantees will be passed upon for us by Cravath, Swaine &amp; Moore LLP as to certain matters of New York law.</w:t>
      </w:r>
    </w:p>
    <w:p>
      <w:pPr>
        <w:spacing w:after="0" w:line="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validity of the Guarantees will be passed upon for us by Slaughter and May as to certain matters of English law.</w:t>
      </w:r>
    </w:p>
    <w:p>
      <w:pPr>
        <w:spacing w:after="0" w:line="1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0" w:lineRule="exact"/>
        <w:rPr>
          <w:sz w:val="20"/>
          <w:szCs w:val="20"/>
          <w:color w:val="auto"/>
        </w:rPr>
      </w:pPr>
    </w:p>
    <w:p>
      <w:pPr>
        <w:ind w:left="1480" w:right="419"/>
        <w:spacing w:after="0" w:line="296" w:lineRule="auto"/>
        <w:rPr>
          <w:sz w:val="20"/>
          <w:szCs w:val="20"/>
          <w:color w:val="auto"/>
        </w:rPr>
      </w:pPr>
      <w:r>
        <w:rPr>
          <w:rFonts w:ascii="Times New Roman" w:cs="Times New Roman" w:eastAsia="Times New Roman" w:hAnsi="Times New Roman"/>
          <w:sz w:val="12"/>
          <w:szCs w:val="12"/>
          <w:color w:val="auto"/>
        </w:rPr>
        <w:t>The consolidated financial statements of Shell appearing in Shell’s Annual Report on Form 20-F for the year ended December 31, 2025, and the effectiveness of Shell’s internal control over financial reporting as of December 31, 2025,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Commission) given on the authority of such firm as experts in accounting and auditing.</w:t>
      </w:r>
    </w:p>
    <w:p>
      <w:pPr>
        <w:spacing w:after="0" w:line="2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378"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1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33"/>
          <w:szCs w:val="33"/>
          <w:b w:val="1"/>
          <w:bCs w:val="1"/>
          <w:color w:val="auto"/>
        </w:rPr>
        <w:t>SHELL FINANCE US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2896870</wp:posOffset>
            </wp:positionH>
            <wp:positionV relativeFrom="paragraph">
              <wp:posOffset>179070</wp:posOffset>
            </wp:positionV>
            <wp:extent cx="137350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3505" cy="6350"/>
                    </a:xfrm>
                    <a:prstGeom prst="rect">
                      <a:avLst/>
                    </a:prstGeom>
                    <a:noFill/>
                  </pic:spPr>
                </pic:pic>
              </a:graphicData>
            </a:graphic>
          </wp:anchor>
        </w:drawing>
      </w:r>
    </w:p>
    <w:p>
      <w:pPr>
        <w:spacing w:after="0" w:line="32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2896870</wp:posOffset>
            </wp:positionH>
            <wp:positionV relativeFrom="paragraph">
              <wp:posOffset>129540</wp:posOffset>
            </wp:positionV>
            <wp:extent cx="137350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3505" cy="6350"/>
                    </a:xfrm>
                    <a:prstGeom prst="rect">
                      <a:avLst/>
                    </a:prstGeom>
                    <a:noFill/>
                  </pic:spPr>
                </pic:pic>
              </a:graphicData>
            </a:graphic>
          </wp:anchor>
        </w:drawing>
      </w: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The Exchange Agent and Information Agent for the Exchange Offers for the Restricted Notes is:</w:t>
      </w:r>
    </w:p>
    <w:p>
      <w:pPr>
        <w:spacing w:after="0" w:line="1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D.F. King &amp; Co., Inc.</w:t>
      </w:r>
    </w:p>
    <w:p>
      <w:pPr>
        <w:spacing w:after="0" w:line="17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Banks and Brokers call: +1 (646) 845-0144</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Toll-free (U.S. only): +1 (800) 488-8075</w:t>
      </w:r>
    </w:p>
    <w:p>
      <w:pPr>
        <w:spacing w:after="0" w:line="7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Email: Shell@dfking.com</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By Facsimile (for eligible institutions only): +1 (212) 709-3328</w:t>
      </w:r>
    </w:p>
    <w:p>
      <w:pPr>
        <w:spacing w:after="0" w:line="7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Confirmation: +1 (212) 232-3233</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Attention: Michael Horthman</w:t>
      </w:r>
    </w:p>
    <w:p>
      <w:pPr>
        <w:spacing w:after="0" w:line="1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Requests for additional copies of this prospectus may be directed to the Information Agent. Beneficial owners may also contact their custodian for</w:t>
      </w:r>
    </w:p>
    <w:p>
      <w:pPr>
        <w:spacing w:after="0" w:line="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assistance concerning the Exchange Offers.</w:t>
      </w:r>
    </w:p>
    <w:p>
      <w:pPr>
        <w:sectPr>
          <w:pgSz w:w="11900" w:h="16838" w:orient="portrait"/>
          <w:cols w:equalWidth="0" w:num="1">
            <w:col w:w="10159"/>
          </w:cols>
          <w:pgMar w:left="300" w:top="378"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6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 xml:space="preserve">Item 20. </w:t>
      </w:r>
      <w:r>
        <w:rPr>
          <w:rFonts w:ascii="Times New Roman" w:cs="Times New Roman" w:eastAsia="Times New Roman" w:hAnsi="Times New Roman"/>
          <w:sz w:val="14"/>
          <w:szCs w:val="14"/>
          <w:b w:val="1"/>
          <w:bCs w:val="1"/>
          <w:i w:val="1"/>
          <w:iCs w:val="1"/>
          <w:color w:val="auto"/>
        </w:rPr>
        <w:t xml:space="preserve">      Indemnification of Directors and Officers</w:t>
      </w:r>
    </w:p>
    <w:p>
      <w:pPr>
        <w:spacing w:after="0" w:line="170" w:lineRule="exact"/>
        <w:rPr>
          <w:sz w:val="20"/>
          <w:szCs w:val="20"/>
          <w:color w:val="auto"/>
        </w:rPr>
      </w:pPr>
    </w:p>
    <w:p>
      <w:pPr>
        <w:ind w:left="1480" w:right="399"/>
        <w:spacing w:after="0" w:line="248" w:lineRule="auto"/>
        <w:rPr>
          <w:sz w:val="20"/>
          <w:szCs w:val="20"/>
          <w:color w:val="auto"/>
        </w:rPr>
      </w:pPr>
      <w:r>
        <w:rPr>
          <w:rFonts w:ascii="Times New Roman" w:cs="Times New Roman" w:eastAsia="Times New Roman" w:hAnsi="Times New Roman"/>
          <w:sz w:val="14"/>
          <w:szCs w:val="14"/>
          <w:color w:val="auto"/>
        </w:rPr>
        <w:t>Article 135 of Shell’s Articles provides that, as far as the legislation allows this, Shell: (i) can indemnify any director or former director of the company, of any associated company or of any affiliate against any liability; and (ii) can purchase and maintain insurance against any liability for any director or former director of the company, of any associated company or of any affiliate. Pursuant to the Companies Act 2006 (sections 232 and 233), we may purchase and maintain for our directors (or directors of an associated company), insurance against any liability attaching to them in connection with any negligence, default, breach of duty or breach of trust in relation to the relevant company.</w:t>
      </w:r>
    </w:p>
    <w:p>
      <w:pPr>
        <w:spacing w:after="0" w:line="148" w:lineRule="exact"/>
        <w:rPr>
          <w:sz w:val="20"/>
          <w:szCs w:val="20"/>
          <w:color w:val="auto"/>
        </w:rPr>
      </w:pPr>
    </w:p>
    <w:p>
      <w:pPr>
        <w:ind w:left="1480" w:right="359"/>
        <w:spacing w:after="0" w:line="246" w:lineRule="auto"/>
        <w:rPr>
          <w:sz w:val="20"/>
          <w:szCs w:val="20"/>
          <w:color w:val="auto"/>
        </w:rPr>
      </w:pPr>
      <w:r>
        <w:rPr>
          <w:rFonts w:ascii="Times New Roman" w:cs="Times New Roman" w:eastAsia="Times New Roman" w:hAnsi="Times New Roman"/>
          <w:sz w:val="14"/>
          <w:szCs w:val="14"/>
          <w:color w:val="auto"/>
        </w:rPr>
        <w:t>Shell has entered into a deed of indemnity with each of the Shell directors. The terms of each of these deeds are identical and they reflect the statutory provisions on indemnities contained in the Companies Act 2006. Under the terms of each deed, Shell undertakes to indemnify the relevant Shell director, to the widest extent permitted by English law, against any loss, liability or damage, howsoever caused (including by that director’s own negligence), suffered or incurred by that director in respect of that director’s acts or omissions on or after the date that the deed was entered into while or in the course of that director acting as a director or employee of Shell, or any member of the Shell Group or certain other entities. In addition, Shell shall lend such funds to the director as are required to meet reasonable costs and expenses incurred or to be incurred by him/her in defending any criminal or civil proceedings or in connection with certain applications under the Companies Act 2006. It is a term of each indemnity that Shell and the relevant director agree to be bound by the provisions in Shell’s Articles relating to arbitration and exclusive jurisdiction.</w:t>
      </w:r>
    </w:p>
    <w:p>
      <w:pPr>
        <w:spacing w:after="0" w:line="14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relevant provisions of the Companies Act 2006 include sections 232 to 235.</w:t>
      </w:r>
    </w:p>
    <w:p>
      <w:pPr>
        <w:spacing w:after="0" w:line="166" w:lineRule="exact"/>
        <w:rPr>
          <w:sz w:val="20"/>
          <w:szCs w:val="20"/>
          <w:color w:val="auto"/>
        </w:rPr>
      </w:pPr>
    </w:p>
    <w:p>
      <w:pPr>
        <w:ind w:left="1480" w:right="399"/>
        <w:spacing w:after="0" w:line="248" w:lineRule="auto"/>
        <w:rPr>
          <w:sz w:val="20"/>
          <w:szCs w:val="20"/>
          <w:color w:val="auto"/>
        </w:rPr>
      </w:pPr>
      <w:r>
        <w:rPr>
          <w:rFonts w:ascii="Times New Roman" w:cs="Times New Roman" w:eastAsia="Times New Roman" w:hAnsi="Times New Roman"/>
          <w:sz w:val="14"/>
          <w:szCs w:val="14"/>
          <w:color w:val="auto"/>
        </w:rPr>
        <w:t>Section 232 states that, any provision that purports to exempt a director (to any extent) from liability for negligence, default, breach of duty or breach of trust by him/her in relation to the company is void. Any provision by which a company directly or indirectly provides an indemnity (to any extent) for a director of the company or an associated company against any such liability is also void unless it is a qualifying third party indemnity provision or a qualifying pension scheme indemnity provision. Shell is still permitted to purchase insurance against any such liability for a director of the company or an associated company.</w:t>
      </w:r>
    </w:p>
    <w:p>
      <w:pPr>
        <w:spacing w:after="0" w:line="148" w:lineRule="exact"/>
        <w:rPr>
          <w:sz w:val="20"/>
          <w:szCs w:val="20"/>
          <w:color w:val="auto"/>
        </w:rPr>
      </w:pPr>
    </w:p>
    <w:p>
      <w:pPr>
        <w:ind w:left="1480" w:right="379"/>
        <w:spacing w:after="0" w:line="248" w:lineRule="auto"/>
        <w:rPr>
          <w:sz w:val="20"/>
          <w:szCs w:val="20"/>
          <w:color w:val="auto"/>
        </w:rPr>
      </w:pPr>
      <w:r>
        <w:rPr>
          <w:rFonts w:ascii="Times New Roman" w:cs="Times New Roman" w:eastAsia="Times New Roman" w:hAnsi="Times New Roman"/>
          <w:sz w:val="14"/>
          <w:szCs w:val="14"/>
          <w:color w:val="auto"/>
        </w:rPr>
        <w:t>A pension scheme indemnity provision means a provision indemnifying a director of a company that is a trustee of an occupational pension scheme against liability incurred in connection with the company’s activities as trustee of the scheme. Such provision is a “qualifying pension scheme indemnity provision” as long as it does not provide any indemnity against: (i) any liability of the director to pay a fine imposed in criminal proceedings or a sum payable to a regulatory authority by way of a penalty in respect of non-compliance with any requirement of a regulatory nature; or (ii) any liability incurred by the director in defending criminal proceedings in which he/she is convicted.</w:t>
      </w:r>
    </w:p>
    <w:p>
      <w:pPr>
        <w:spacing w:after="0" w:line="148" w:lineRule="exact"/>
        <w:rPr>
          <w:sz w:val="20"/>
          <w:szCs w:val="20"/>
          <w:color w:val="auto"/>
        </w:rPr>
      </w:pPr>
    </w:p>
    <w:p>
      <w:pPr>
        <w:ind w:left="1480" w:right="479"/>
        <w:spacing w:after="0" w:line="246" w:lineRule="auto"/>
        <w:rPr>
          <w:sz w:val="20"/>
          <w:szCs w:val="20"/>
          <w:color w:val="auto"/>
        </w:rPr>
      </w:pPr>
      <w:r>
        <w:rPr>
          <w:rFonts w:ascii="Times New Roman" w:cs="Times New Roman" w:eastAsia="Times New Roman" w:hAnsi="Times New Roman"/>
          <w:sz w:val="14"/>
          <w:szCs w:val="14"/>
          <w:color w:val="auto"/>
        </w:rPr>
        <w:t>A third party indemnity provision means a provision indemnifying a director of a company against liability incurred by the director to a person other than the company or an associated company. Such provision is a “qualifying third party indemnity provision” as long as it does not provide any indemnity against: (i) any liability of the director to pay a fine imposed in criminal proceedings or a sum payable to a regulatory authority by way of a penalty in respect of non-compliance with any requirement of a regulatory nature; or (ii) any liability incurred by the director in defending criminal proceedings in which he/she is convicted or in defending civil proceedings brought by the company or an associated company in which judgment is given against him/her or where the court refuses to grant him/her relief under an application under sections 661(3) or (4) (power of court to grant relief in case of acquisition of shares by innocent nominee) of the Companies Act 2006 or its power under section 1157 (general power of the court to grant relief in case of honest and reasonable conduct) of the Companies Act 2006</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78"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99"/>
        <w:spacing w:after="0" w:line="253" w:lineRule="auto"/>
        <w:rPr>
          <w:sz w:val="20"/>
          <w:szCs w:val="20"/>
          <w:color w:val="auto"/>
        </w:rPr>
      </w:pPr>
      <w:r>
        <w:rPr>
          <w:rFonts w:ascii="Times New Roman" w:cs="Times New Roman" w:eastAsia="Times New Roman" w:hAnsi="Times New Roman"/>
          <w:sz w:val="14"/>
          <w:szCs w:val="14"/>
          <w:color w:val="auto"/>
        </w:rPr>
        <w:t>(described below). Any qualifying third party indemnity provision or qualifying pension scheme indemnity provision in force when the directors’ report (which forms part of the company’s annual report) is approved, or which was in force during the relevant financial year, for the benefit of one or more directors of the company must be disclosed in the directors’ report section of the annual report.</w:t>
      </w:r>
    </w:p>
    <w:p>
      <w:pPr>
        <w:spacing w:after="0" w:line="144" w:lineRule="exact"/>
        <w:rPr>
          <w:sz w:val="20"/>
          <w:szCs w:val="20"/>
          <w:color w:val="auto"/>
        </w:rPr>
      </w:pPr>
    </w:p>
    <w:p>
      <w:pPr>
        <w:ind w:left="1480" w:right="419"/>
        <w:spacing w:after="0" w:line="294" w:lineRule="auto"/>
        <w:rPr>
          <w:sz w:val="20"/>
          <w:szCs w:val="20"/>
          <w:color w:val="auto"/>
        </w:rPr>
      </w:pPr>
      <w:r>
        <w:rPr>
          <w:rFonts w:ascii="Times New Roman" w:cs="Times New Roman" w:eastAsia="Times New Roman" w:hAnsi="Times New Roman"/>
          <w:sz w:val="12"/>
          <w:szCs w:val="12"/>
          <w:color w:val="auto"/>
        </w:rPr>
        <w:t>Section 205 of the Companies Act 2006 provides that a company can provide a director with funds to meet expenditures incurred or to be incurred by him/her in defending any criminal or civil proceedings in connection with any alleged negligence, default, breach of duty or breach of trust by the director in relation to the company or an associated company or in connection with an application for relief under sections 661(3) or (4) (power of court to grant relief in case of acquisition of shares by innocent nominee) of the Companies Act 2006 or its power under section 1157 (general power of the court to grant relief in case of honest and reasonable conduct) of the Companies Act 2006, or to enable any such director to avoid incurring such expenditure. Such loan must be repaid, or (as the case may be) any liability of the company incurred under any transaction connected with the thing done is to be discharged if the director is convicted, judgment is found against him/her or the court refuses to grant the relief on the application.</w:t>
      </w:r>
    </w:p>
    <w:p>
      <w:pPr>
        <w:spacing w:after="0" w:line="12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Section 1157 of the Companies Act 2006 provides that:</w:t>
      </w:r>
    </w:p>
    <w:p>
      <w:pPr>
        <w:spacing w:after="0" w:line="186" w:lineRule="exact"/>
        <w:rPr>
          <w:sz w:val="20"/>
          <w:szCs w:val="20"/>
          <w:color w:val="auto"/>
        </w:rPr>
      </w:pPr>
    </w:p>
    <w:p>
      <w:pPr>
        <w:ind w:left="2220" w:right="479" w:hanging="412"/>
        <w:spacing w:after="0" w:line="247" w:lineRule="auto"/>
        <w:tabs>
          <w:tab w:leader="none" w:pos="22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in any proceedings for negligence, default, breach of duty or breach of trust against an officer of a company or a person employed by a company as an auditor (whether he/she is or is not an officer of the company) it appears to the court hearing the case that the officer or person is or may be liable in respect of the negligence, default, breach of duty or breach of trust, but that he/she has acted honestly and reasonably, and that having regard to all the circumstances of the case (including those connected with his/her appointment) he/she ought fairly to be excused for the negligence, default, breach of duty or breach of trust, that court may relieve him/her, either wholly or in part, from his/her liability on such terms as it thinks fit.</w:t>
      </w:r>
    </w:p>
    <w:p>
      <w:pPr>
        <w:spacing w:after="0" w:line="169" w:lineRule="exact"/>
        <w:rPr>
          <w:rFonts w:ascii="Times New Roman" w:cs="Times New Roman" w:eastAsia="Times New Roman" w:hAnsi="Times New Roman"/>
          <w:sz w:val="14"/>
          <w:szCs w:val="14"/>
          <w:color w:val="auto"/>
        </w:rPr>
      </w:pPr>
    </w:p>
    <w:p>
      <w:pPr>
        <w:ind w:left="2220" w:right="359" w:hanging="412"/>
        <w:spacing w:after="0" w:line="250" w:lineRule="auto"/>
        <w:tabs>
          <w:tab w:leader="none" w:pos="22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such officer or person has reason to apprehend that any claim will or might be made against him/her in respect of any negligence, default, breach of duty or breach of trust, he/she may apply to the court for relief; and the court has the same power to relieve him/her as it would have had if it had been a court before which proceedings against that person for negligence, default, breach of duty or breach of trust had been brought.</w:t>
      </w:r>
    </w:p>
    <w:p>
      <w:pPr>
        <w:spacing w:after="0" w:line="165" w:lineRule="exact"/>
        <w:rPr>
          <w:rFonts w:ascii="Times New Roman" w:cs="Times New Roman" w:eastAsia="Times New Roman" w:hAnsi="Times New Roman"/>
          <w:sz w:val="14"/>
          <w:szCs w:val="14"/>
          <w:color w:val="auto"/>
        </w:rPr>
      </w:pPr>
    </w:p>
    <w:p>
      <w:pPr>
        <w:ind w:left="2220" w:right="479" w:hanging="412"/>
        <w:spacing w:after="0" w:line="248" w:lineRule="auto"/>
        <w:tabs>
          <w:tab w:leader="none" w:pos="22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a case to which subsection (1) applies is being tried by a judge with a jury, the judge, after hearing the evidence, may, if he/she is satisfied that the defendant (in Scotland, the defender) ought in pursuance of that subsection to be relieved either in whole or in part from the liability sought to be enforced against him/her, withdraw the case from the jury and forthwith direct judgment to be entered for the defendant (in Scotland, grant decree of absolvitor) on such terms as to costs (in Scotland, expenses) or otherwise as the judge may think proper.</w:t>
      </w:r>
    </w:p>
    <w:p>
      <w:pPr>
        <w:spacing w:after="0" w:line="148" w:lineRule="exact"/>
        <w:rPr>
          <w:sz w:val="20"/>
          <w:szCs w:val="20"/>
          <w:color w:val="auto"/>
        </w:rPr>
      </w:pPr>
    </w:p>
    <w:p>
      <w:pPr>
        <w:ind w:left="1480" w:right="699"/>
        <w:spacing w:after="0" w:line="264" w:lineRule="auto"/>
        <w:rPr>
          <w:sz w:val="20"/>
          <w:szCs w:val="20"/>
          <w:color w:val="auto"/>
        </w:rPr>
      </w:pPr>
      <w:r>
        <w:rPr>
          <w:rFonts w:ascii="Times New Roman" w:cs="Times New Roman" w:eastAsia="Times New Roman" w:hAnsi="Times New Roman"/>
          <w:sz w:val="14"/>
          <w:szCs w:val="14"/>
          <w:color w:val="auto"/>
        </w:rPr>
        <w:t>English law permits a shareholder to initiate a lawsuit on behalf of the company only in limited circumstances. The Companies Act 2006 permits a shareholder or member, as that term is used in Section 260 and 994 of the Companies Act 2006, to apply for a court order, either:</w:t>
      </w:r>
    </w:p>
    <w:p>
      <w:pPr>
        <w:spacing w:after="0" w:line="156" w:lineRule="exact"/>
        <w:rPr>
          <w:sz w:val="20"/>
          <w:szCs w:val="20"/>
          <w:color w:val="auto"/>
        </w:rPr>
      </w:pPr>
    </w:p>
    <w:p>
      <w:pPr>
        <w:ind w:left="2220" w:right="399" w:hanging="412"/>
        <w:spacing w:after="0" w:line="264" w:lineRule="auto"/>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a cause of action arising from an actual or proposed act or omission involving negligence, default, breach of duty or breach of trust by a director of the company; or</w:t>
      </w:r>
    </w:p>
    <w:p>
      <w:pPr>
        <w:spacing w:after="0" w:line="155" w:lineRule="exact"/>
        <w:rPr>
          <w:rFonts w:ascii="Times New Roman" w:cs="Times New Roman" w:eastAsia="Times New Roman" w:hAnsi="Times New Roman"/>
          <w:sz w:val="14"/>
          <w:szCs w:val="14"/>
          <w:color w:val="auto"/>
        </w:rPr>
      </w:pPr>
    </w:p>
    <w:p>
      <w:pPr>
        <w:jc w:val="both"/>
        <w:ind w:left="2220" w:right="439" w:hanging="412"/>
        <w:spacing w:after="0" w:line="348" w:lineRule="auto"/>
        <w:tabs>
          <w:tab w:leader="none" w:pos="22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the company’s affairs are being or have been conducted in a manner unfairly prejudicial to the interests of all or some shareholders, including the shareholder making the claim; or when any actual or proposed act or omission of the company is or would be so prejudicial.</w:t>
      </w:r>
    </w:p>
    <w:p>
      <w:pPr>
        <w:spacing w:after="0" w:line="90" w:lineRule="exact"/>
        <w:rPr>
          <w:sz w:val="20"/>
          <w:szCs w:val="20"/>
          <w:color w:val="auto"/>
        </w:rPr>
      </w:pPr>
    </w:p>
    <w:p>
      <w:pPr>
        <w:ind w:left="1480" w:right="599"/>
        <w:spacing w:after="0" w:line="253" w:lineRule="auto"/>
        <w:rPr>
          <w:sz w:val="20"/>
          <w:szCs w:val="20"/>
          <w:color w:val="auto"/>
        </w:rPr>
      </w:pPr>
      <w:r>
        <w:rPr>
          <w:rFonts w:ascii="Times New Roman" w:cs="Times New Roman" w:eastAsia="Times New Roman" w:hAnsi="Times New Roman"/>
          <w:sz w:val="14"/>
          <w:szCs w:val="14"/>
          <w:color w:val="auto"/>
        </w:rPr>
        <w:t>A court has wide discretion in granting relief and may, for example, authorize civil proceedings to be brought in the name of the company by a shareholder on terms that the court directs. Except in these limited circumstances, English law does not generally permit lawsuits by shareholders on behalf of the company or on behalf of other shareholders.</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78"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499"/>
        <w:spacing w:after="0" w:line="246" w:lineRule="auto"/>
        <w:rPr>
          <w:sz w:val="20"/>
          <w:szCs w:val="20"/>
          <w:color w:val="auto"/>
        </w:rPr>
      </w:pPr>
      <w:r>
        <w:rPr>
          <w:rFonts w:ascii="Times New Roman" w:cs="Times New Roman" w:eastAsia="Times New Roman" w:hAnsi="Times New Roman"/>
          <w:sz w:val="14"/>
          <w:szCs w:val="14"/>
          <w:color w:val="auto"/>
        </w:rPr>
        <w:t>Shell Finance US’s By-Laws provide for indemnification of, among others, Shell Finance US’s current and former directors and officers to the full extent permitted by law. Section 145 of the Delaware General Corporation Law (“</w:t>
      </w:r>
      <w:r>
        <w:rPr>
          <w:rFonts w:ascii="Times New Roman" w:cs="Times New Roman" w:eastAsia="Times New Roman" w:hAnsi="Times New Roman"/>
          <w:sz w:val="14"/>
          <w:szCs w:val="14"/>
          <w:b w:val="1"/>
          <w:bCs w:val="1"/>
          <w:color w:val="auto"/>
        </w:rPr>
        <w:t>DGCL</w:t>
      </w:r>
      <w:r>
        <w:rPr>
          <w:rFonts w:ascii="Times New Roman" w:cs="Times New Roman" w:eastAsia="Times New Roman" w:hAnsi="Times New Roman"/>
          <w:sz w:val="14"/>
          <w:szCs w:val="14"/>
          <w:color w:val="auto"/>
        </w:rPr>
        <w:t>”) permits a corporation to indemnify any person who was or is, or is threatened to be made, a party to any threatened, pending or completed action, suit or proceeding, whether civil, criminal, administrative or investigative (other than an action by or in the right of the corporation), by reason of the fact that the person is or was a director or officer of the corporation, or is or was serving at the request of the corporation as a director, officer, employee or agent of another corporation, partnership, joint venture, trust or other enterprise or entity. The indemnity may include expenses (including attorneys’ fees), judgments, fines and amounts paid in settlement actually and reasonably incurred by the person in connection with such action, suit or proceeding if the person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47" w:lineRule="exact"/>
        <w:rPr>
          <w:sz w:val="20"/>
          <w:szCs w:val="20"/>
          <w:color w:val="auto"/>
        </w:rPr>
      </w:pPr>
    </w:p>
    <w:p>
      <w:pPr>
        <w:ind w:left="1480" w:right="439"/>
        <w:spacing w:after="0" w:line="296" w:lineRule="auto"/>
        <w:rPr>
          <w:sz w:val="20"/>
          <w:szCs w:val="20"/>
          <w:color w:val="auto"/>
        </w:rPr>
      </w:pPr>
      <w:r>
        <w:rPr>
          <w:rFonts w:ascii="Times New Roman" w:cs="Times New Roman" w:eastAsia="Times New Roman" w:hAnsi="Times New Roman"/>
          <w:sz w:val="12"/>
          <w:szCs w:val="12"/>
          <w:color w:val="auto"/>
        </w:rPr>
        <w:t>This power to indemnify applies to actions brought by or in the right of the corporation to procure a judgment in its favor as well, but only to the extent of expenses (including attorneys’ fees) actually and reasonably incurred by the person in connection with the defense of the action or suit if the person acted in good faith and in a manner the person reasonably believed to be in or not opposed to the best interests of the corporation, and, with the further limitation that in such actions no indemnification shall be made in respect of any claim, issue or matter as to which such person shall have been adjudged to be liable to the corporation, unless and only to the extent that a court shall determine upon application that, despite the adjudication of liability but in view of all the circumstances of the case, such person is fairly and reasonably entitled to indemnity for such expenses.</w:t>
      </w:r>
    </w:p>
    <w:p>
      <w:pPr>
        <w:spacing w:after="0" w:line="122" w:lineRule="exact"/>
        <w:rPr>
          <w:sz w:val="20"/>
          <w:szCs w:val="20"/>
          <w:color w:val="auto"/>
        </w:rPr>
      </w:pPr>
    </w:p>
    <w:p>
      <w:pPr>
        <w:ind w:left="1480" w:right="359"/>
        <w:spacing w:after="0" w:line="247" w:lineRule="auto"/>
        <w:rPr>
          <w:sz w:val="20"/>
          <w:szCs w:val="20"/>
          <w:color w:val="auto"/>
        </w:rPr>
      </w:pPr>
      <w:r>
        <w:rPr>
          <w:rFonts w:ascii="Times New Roman" w:cs="Times New Roman" w:eastAsia="Times New Roman" w:hAnsi="Times New Roman"/>
          <w:sz w:val="14"/>
          <w:szCs w:val="14"/>
          <w:color w:val="auto"/>
        </w:rPr>
        <w:t>Where a present or former director or officer has been successful on the merits or otherwise in the defense of any action, suit or proceeding referred to in the prior two paragraphs, the corporation must indemnify him or her against the expenses (including attorneys’ fees) which he or she actually and reasonably incurred in connection therewith. Shell Finance US’s By-Laws also provide that expenses incurred by any such person in defending actions, suits or proceedings shall be paid by Shell Finance US promptly in advance of the final disposition of any such action, suit or proceeding, promptly upon receipt by Shell Finance US of an undertaking of such person to repay such expenses if it shall ultimately be determined that such person is not entitled to be indemnified by Shell Finance US.</w:t>
      </w:r>
    </w:p>
    <w:p>
      <w:pPr>
        <w:spacing w:after="0" w:line="149" w:lineRule="exact"/>
        <w:rPr>
          <w:sz w:val="20"/>
          <w:szCs w:val="20"/>
          <w:color w:val="auto"/>
        </w:rPr>
      </w:pPr>
    </w:p>
    <w:p>
      <w:pPr>
        <w:jc w:val="both"/>
        <w:ind w:left="1480" w:right="359"/>
        <w:spacing w:after="0" w:line="290" w:lineRule="auto"/>
        <w:rPr>
          <w:sz w:val="20"/>
          <w:szCs w:val="20"/>
          <w:color w:val="auto"/>
        </w:rPr>
      </w:pPr>
      <w:r>
        <w:rPr>
          <w:rFonts w:ascii="Times New Roman" w:cs="Times New Roman" w:eastAsia="Times New Roman" w:hAnsi="Times New Roman"/>
          <w:sz w:val="12"/>
          <w:szCs w:val="12"/>
          <w:color w:val="auto"/>
        </w:rPr>
        <w:t>Shell Finance US’s Certificate of Incorporation provides that its directors shall not be liable to the corporation or its stockholders for monetary damages for any breach of fiduciary duty as a director to the fullest extent permitted by law. Section 102(b)(7) of the DGCL permits a corporation to eliminate the personal liability of a director to the corporation or its stockholders for monetary damages for breach of fiduciary duty as a director, except for liability:</w:t>
      </w:r>
    </w:p>
    <w:p>
      <w:pPr>
        <w:spacing w:after="0" w:line="1" w:lineRule="exact"/>
        <w:rPr>
          <w:sz w:val="20"/>
          <w:szCs w:val="20"/>
          <w:color w:val="auto"/>
        </w:rPr>
      </w:pPr>
    </w:p>
    <w:p>
      <w:pPr>
        <w:ind w:left="1480" w:right="659" w:firstLine="1"/>
        <w:spacing w:after="0" w:line="245" w:lineRule="auto"/>
        <w:tabs>
          <w:tab w:leader="none" w:pos="1665"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breach of the director’s duty of loyalty to the corporation or its shareholders; (b) for acts or omissions not in good faith or which involve intentional misconduct or a knowing violation of law; (c) under Section 174 of the DGCL, which concerns unlawful payment of dividends, stock purchases or redemptions; or (d) for any transaction from which the director derived an improper personal benefit.</w:t>
      </w:r>
    </w:p>
    <w:p>
      <w:pPr>
        <w:spacing w:after="0" w:line="148" w:lineRule="exact"/>
        <w:rPr>
          <w:sz w:val="20"/>
          <w:szCs w:val="20"/>
          <w:color w:val="auto"/>
        </w:rPr>
      </w:pPr>
    </w:p>
    <w:p>
      <w:pPr>
        <w:jc w:val="both"/>
        <w:ind w:left="1480" w:right="719"/>
        <w:spacing w:after="0" w:line="253" w:lineRule="auto"/>
        <w:rPr>
          <w:sz w:val="20"/>
          <w:szCs w:val="20"/>
          <w:color w:val="auto"/>
        </w:rPr>
      </w:pPr>
      <w:r>
        <w:rPr>
          <w:rFonts w:ascii="Times New Roman" w:cs="Times New Roman" w:eastAsia="Times New Roman" w:hAnsi="Times New Roman"/>
          <w:sz w:val="14"/>
          <w:szCs w:val="14"/>
          <w:color w:val="auto"/>
        </w:rPr>
        <w:t>As permitted by the DGCL, Shell Finance US participates in the directors’ and officers’ liability insurance coverage under the Shell Group Global Insurance Plan that insures against claims and liabilities (with stated exceptions) that officers and directors of Shell Finance US may incur in such capacities.</w:t>
      </w:r>
    </w:p>
    <w:p>
      <w:pPr>
        <w:spacing w:after="0" w:line="144" w:lineRule="exact"/>
        <w:rPr>
          <w:sz w:val="20"/>
          <w:szCs w:val="20"/>
          <w:color w:val="auto"/>
        </w:rPr>
      </w:pPr>
    </w:p>
    <w:p>
      <w:pPr>
        <w:ind w:left="1480" w:right="379"/>
        <w:spacing w:after="0" w:line="253" w:lineRule="auto"/>
        <w:rPr>
          <w:sz w:val="20"/>
          <w:szCs w:val="20"/>
          <w:color w:val="auto"/>
        </w:rPr>
      </w:pPr>
      <w:r>
        <w:rPr>
          <w:rFonts w:ascii="Times New Roman" w:cs="Times New Roman" w:eastAsia="Times New Roman" w:hAnsi="Times New Roman"/>
          <w:sz w:val="14"/>
          <w:szCs w:val="14"/>
          <w:color w:val="auto"/>
        </w:rPr>
        <w:t>The foregoing summary with respect to the indemnification of Shell Finance US’s directors and officers is subject to the complete text of the DGCL and Shell Finance US’s Certificate of Incorporation, By-Laws and the other arrangements referred to above and are qualified in their entirety by reference thereto.</w:t>
      </w:r>
    </w:p>
    <w:p>
      <w:pPr>
        <w:spacing w:after="0" w:line="1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 xml:space="preserve">Item 21. </w:t>
      </w:r>
      <w:r>
        <w:rPr>
          <w:rFonts w:ascii="Times New Roman" w:cs="Times New Roman" w:eastAsia="Times New Roman" w:hAnsi="Times New Roman"/>
          <w:sz w:val="14"/>
          <w:szCs w:val="14"/>
          <w:b w:val="1"/>
          <w:bCs w:val="1"/>
          <w:i w:val="1"/>
          <w:iCs w:val="1"/>
          <w:color w:val="auto"/>
        </w:rPr>
        <w:t xml:space="preserve">      Exhibits and Financial Statement Schedules</w:t>
      </w:r>
    </w:p>
    <w:p>
      <w:pPr>
        <w:spacing w:after="0" w:line="1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exhibits listed below in the “Exhibit Index” are part of this registration statement.</w:t>
      </w:r>
    </w:p>
    <w:p>
      <w:pPr>
        <w:spacing w:after="0" w:line="1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78"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 xml:space="preserve">Item 22. </w:t>
      </w:r>
      <w:r>
        <w:rPr>
          <w:rFonts w:ascii="Times New Roman" w:cs="Times New Roman" w:eastAsia="Times New Roman" w:hAnsi="Times New Roman"/>
          <w:sz w:val="14"/>
          <w:szCs w:val="14"/>
          <w:b w:val="1"/>
          <w:bCs w:val="1"/>
          <w:i w:val="1"/>
          <w:iCs w:val="1"/>
          <w:color w:val="auto"/>
        </w:rPr>
        <w:t xml:space="preserve">      Undertakings</w:t>
      </w:r>
    </w:p>
    <w:p>
      <w:pPr>
        <w:spacing w:after="0" w:line="1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86" w:lineRule="exact"/>
        <w:rPr>
          <w:sz w:val="20"/>
          <w:szCs w:val="20"/>
          <w:color w:val="auto"/>
        </w:rPr>
      </w:pPr>
    </w:p>
    <w:p>
      <w:pPr>
        <w:ind w:left="2220" w:hanging="412"/>
        <w:spacing w:after="0"/>
        <w:tabs>
          <w:tab w:leader="none" w:pos="2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85" w:lineRule="exact"/>
        <w:rPr>
          <w:rFonts w:ascii="Times New Roman" w:cs="Times New Roman" w:eastAsia="Times New Roman" w:hAnsi="Times New Roman"/>
          <w:sz w:val="14"/>
          <w:szCs w:val="14"/>
          <w:color w:val="auto"/>
        </w:rPr>
      </w:pPr>
    </w:p>
    <w:p>
      <w:pPr>
        <w:ind w:left="2560" w:hanging="334"/>
        <w:spacing w:after="0"/>
        <w:tabs>
          <w:tab w:leader="none" w:pos="256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85" w:lineRule="exact"/>
        <w:rPr>
          <w:rFonts w:ascii="Times New Roman" w:cs="Times New Roman" w:eastAsia="Times New Roman" w:hAnsi="Times New Roman"/>
          <w:sz w:val="14"/>
          <w:szCs w:val="14"/>
          <w:color w:val="auto"/>
        </w:rPr>
      </w:pPr>
    </w:p>
    <w:p>
      <w:pPr>
        <w:ind w:left="2560" w:right="419" w:hanging="334"/>
        <w:spacing w:after="0" w:line="246" w:lineRule="auto"/>
        <w:tabs>
          <w:tab w:leader="none" w:pos="256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71" w:lineRule="exact"/>
        <w:rPr>
          <w:rFonts w:ascii="Times New Roman" w:cs="Times New Roman" w:eastAsia="Times New Roman" w:hAnsi="Times New Roman"/>
          <w:sz w:val="14"/>
          <w:szCs w:val="14"/>
          <w:color w:val="auto"/>
        </w:rPr>
      </w:pPr>
    </w:p>
    <w:p>
      <w:pPr>
        <w:ind w:left="2560" w:right="519" w:hanging="334"/>
        <w:spacing w:after="0" w:line="264" w:lineRule="auto"/>
        <w:tabs>
          <w:tab w:leader="none" w:pos="256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55" w:lineRule="exact"/>
        <w:rPr>
          <w:rFonts w:ascii="Times New Roman" w:cs="Times New Roman" w:eastAsia="Times New Roman" w:hAnsi="Times New Roman"/>
          <w:sz w:val="14"/>
          <w:szCs w:val="14"/>
          <w:color w:val="auto"/>
        </w:rPr>
      </w:pPr>
    </w:p>
    <w:p>
      <w:pPr>
        <w:ind w:left="2220" w:right="359" w:hanging="412"/>
        <w:spacing w:after="0" w:line="253" w:lineRule="auto"/>
        <w:tabs>
          <w:tab w:leader="none" w:pos="2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Times New Roman" w:cs="Times New Roman" w:eastAsia="Times New Roman" w:hAnsi="Times New Roman"/>
          <w:sz w:val="14"/>
          <w:szCs w:val="14"/>
          <w:color w:val="auto"/>
        </w:rPr>
      </w:pPr>
    </w:p>
    <w:p>
      <w:pPr>
        <w:ind w:left="2220" w:right="639" w:hanging="412"/>
        <w:spacing w:after="0" w:line="264" w:lineRule="auto"/>
        <w:tabs>
          <w:tab w:leader="none" w:pos="2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55" w:lineRule="exact"/>
        <w:rPr>
          <w:rFonts w:ascii="Times New Roman" w:cs="Times New Roman" w:eastAsia="Times New Roman" w:hAnsi="Times New Roman"/>
          <w:sz w:val="14"/>
          <w:szCs w:val="14"/>
          <w:color w:val="auto"/>
        </w:rPr>
      </w:pPr>
    </w:p>
    <w:p>
      <w:pPr>
        <w:ind w:left="2220" w:right="459" w:hanging="412"/>
        <w:spacing w:after="0" w:line="248" w:lineRule="auto"/>
        <w:tabs>
          <w:tab w:leader="none" w:pos="2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 (3) of the Act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w:t>
      </w:r>
    </w:p>
    <w:p>
      <w:pPr>
        <w:spacing w:after="0" w:line="168" w:lineRule="exact"/>
        <w:rPr>
          <w:rFonts w:ascii="Times New Roman" w:cs="Times New Roman" w:eastAsia="Times New Roman" w:hAnsi="Times New Roman"/>
          <w:sz w:val="14"/>
          <w:szCs w:val="14"/>
          <w:color w:val="auto"/>
        </w:rPr>
      </w:pPr>
    </w:p>
    <w:p>
      <w:pPr>
        <w:ind w:left="2220" w:right="359" w:hanging="412"/>
        <w:spacing w:after="0" w:line="246" w:lineRule="auto"/>
        <w:tabs>
          <w:tab w:leader="none" w:pos="2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9" w:lineRule="exact"/>
        <w:rPr>
          <w:rFonts w:ascii="Times New Roman" w:cs="Times New Roman" w:eastAsia="Times New Roman" w:hAnsi="Times New Roman"/>
          <w:sz w:val="14"/>
          <w:szCs w:val="14"/>
          <w:color w:val="auto"/>
        </w:rPr>
      </w:pPr>
    </w:p>
    <w:p>
      <w:pPr>
        <w:ind w:left="2220" w:right="599" w:hanging="412"/>
        <w:spacing w:after="0" w:line="264" w:lineRule="auto"/>
        <w:tabs>
          <w:tab w:leader="none" w:pos="2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in a primary offering of securities of the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78"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719"/>
        <w:spacing w:after="0" w:line="253" w:lineRule="auto"/>
        <w:rPr>
          <w:sz w:val="20"/>
          <w:szCs w:val="20"/>
          <w:color w:val="auto"/>
        </w:rPr>
      </w:pPr>
      <w:r>
        <w:rPr>
          <w:rFonts w:ascii="Times New Roman" w:cs="Times New Roman" w:eastAsia="Times New Roman" w:hAnsi="Times New Roman"/>
          <w:sz w:val="14"/>
          <w:szCs w:val="14"/>
          <w:color w:val="auto"/>
        </w:rPr>
        <w:t>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4" w:lineRule="exact"/>
        <w:rPr>
          <w:sz w:val="20"/>
          <w:szCs w:val="20"/>
          <w:color w:val="auto"/>
        </w:rPr>
      </w:pPr>
    </w:p>
    <w:p>
      <w:pPr>
        <w:ind w:left="2560" w:right="459" w:hanging="334"/>
        <w:spacing w:after="0" w:line="264" w:lineRule="auto"/>
        <w:tabs>
          <w:tab w:leader="none" w:pos="256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55" w:lineRule="exact"/>
        <w:rPr>
          <w:rFonts w:ascii="Times New Roman" w:cs="Times New Roman" w:eastAsia="Times New Roman" w:hAnsi="Times New Roman"/>
          <w:sz w:val="14"/>
          <w:szCs w:val="14"/>
          <w:color w:val="auto"/>
        </w:rPr>
      </w:pPr>
    </w:p>
    <w:p>
      <w:pPr>
        <w:ind w:left="2560" w:right="499" w:hanging="334"/>
        <w:spacing w:after="0" w:line="264" w:lineRule="auto"/>
        <w:tabs>
          <w:tab w:leader="none" w:pos="256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55" w:lineRule="exact"/>
        <w:rPr>
          <w:rFonts w:ascii="Times New Roman" w:cs="Times New Roman" w:eastAsia="Times New Roman" w:hAnsi="Times New Roman"/>
          <w:sz w:val="14"/>
          <w:szCs w:val="14"/>
          <w:color w:val="auto"/>
        </w:rPr>
      </w:pPr>
    </w:p>
    <w:p>
      <w:pPr>
        <w:ind w:left="2560" w:right="779" w:hanging="334"/>
        <w:spacing w:after="0" w:line="264" w:lineRule="auto"/>
        <w:tabs>
          <w:tab w:leader="none" w:pos="256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55" w:lineRule="exact"/>
        <w:rPr>
          <w:rFonts w:ascii="Times New Roman" w:cs="Times New Roman" w:eastAsia="Times New Roman" w:hAnsi="Times New Roman"/>
          <w:sz w:val="14"/>
          <w:szCs w:val="14"/>
          <w:color w:val="auto"/>
        </w:rPr>
      </w:pPr>
    </w:p>
    <w:p>
      <w:pPr>
        <w:ind w:left="2560" w:hanging="334"/>
        <w:spacing w:after="0"/>
        <w:tabs>
          <w:tab w:leader="none" w:pos="256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85" w:lineRule="exact"/>
        <w:rPr>
          <w:rFonts w:ascii="Times New Roman" w:cs="Times New Roman" w:eastAsia="Times New Roman" w:hAnsi="Times New Roman"/>
          <w:sz w:val="14"/>
          <w:szCs w:val="14"/>
          <w:color w:val="auto"/>
        </w:rPr>
      </w:pPr>
    </w:p>
    <w:p>
      <w:pPr>
        <w:ind w:left="2220" w:right="519" w:hanging="412"/>
        <w:spacing w:after="0" w:line="248" w:lineRule="auto"/>
        <w:tabs>
          <w:tab w:leader="none" w:pos="22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each filing of the Registrant’s annual report pursuant to Sections 13(a) or 15(d) of the Exchange Act (and, where applicable, each filing of an employee benefit plan’s annual report pursuant to Section 15(d) of the Securities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8" w:lineRule="exact"/>
        <w:rPr>
          <w:rFonts w:ascii="Times New Roman" w:cs="Times New Roman" w:eastAsia="Times New Roman" w:hAnsi="Times New Roman"/>
          <w:sz w:val="14"/>
          <w:szCs w:val="14"/>
          <w:color w:val="auto"/>
        </w:rPr>
      </w:pPr>
    </w:p>
    <w:p>
      <w:pPr>
        <w:ind w:left="2220" w:right="419" w:hanging="412"/>
        <w:spacing w:after="0" w:line="294" w:lineRule="auto"/>
        <w:tabs>
          <w:tab w:leader="none" w:pos="22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06" w:lineRule="exact"/>
        <w:rPr>
          <w:rFonts w:ascii="Times New Roman" w:cs="Times New Roman" w:eastAsia="Times New Roman" w:hAnsi="Times New Roman"/>
          <w:sz w:val="12"/>
          <w:szCs w:val="12"/>
          <w:color w:val="auto"/>
        </w:rPr>
      </w:pPr>
    </w:p>
    <w:p>
      <w:pPr>
        <w:ind w:left="2220" w:right="399" w:hanging="412"/>
        <w:spacing w:after="0" w:line="248" w:lineRule="auto"/>
        <w:tabs>
          <w:tab w:leader="none" w:pos="22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and (ii) to arrange or provide for a facility in the United States for the purpose of responding to such requests. The undertaking in subparagraph (i) above include information contained in documents filed subsequent to the effective date of the registration statement through the date of responding to the request.</w:t>
      </w:r>
    </w:p>
    <w:p>
      <w:pPr>
        <w:spacing w:after="0" w:line="168" w:lineRule="exact"/>
        <w:rPr>
          <w:rFonts w:ascii="Times New Roman" w:cs="Times New Roman" w:eastAsia="Times New Roman" w:hAnsi="Times New Roman"/>
          <w:sz w:val="14"/>
          <w:szCs w:val="14"/>
          <w:color w:val="auto"/>
        </w:rPr>
      </w:pPr>
    </w:p>
    <w:p>
      <w:pPr>
        <w:ind w:left="2220" w:right="619" w:hanging="412"/>
        <w:spacing w:after="0" w:line="264" w:lineRule="auto"/>
        <w:tabs>
          <w:tab w:leader="none" w:pos="22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78"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tbl>
      <w:tblPr>
        <w:tblLayout w:type="fixed"/>
        <w:tblInd w:w="1480" w:type="dxa"/>
        <w:tblCellMar>
          <w:top w:w="0" w:type="dxa"/>
          <w:left w:w="0" w:type="dxa"/>
          <w:bottom w:w="0" w:type="dxa"/>
          <w:right w:w="0" w:type="dxa"/>
        </w:tblCellMar>
      </w:tblPr>
      <w:tr>
        <w:trPr>
          <w:trHeight w:val="179"/>
        </w:trPr>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960" w:type="dxa"/>
            <w:vAlign w:val="bottom"/>
            <w:gridSpan w:val="2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331"/>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Exhibit    </w:t>
            </w:r>
          </w:p>
        </w:tc>
        <w:tc>
          <w:tcPr>
            <w:tcW w:w="7660" w:type="dxa"/>
            <w:vAlign w:val="bottom"/>
            <w:gridSpan w:val="31"/>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180"/>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80" w:type="dxa"/>
            <w:vAlign w:val="bottom"/>
            <w:tcBorders>
              <w:bottom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6700" w:type="dxa"/>
            <w:vAlign w:val="bottom"/>
            <w:tcBorders>
              <w:bottom w:val="single" w:sz="8" w:color="auto"/>
            </w:tcBorders>
            <w:gridSpan w:val="2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4"/>
        </w:trPr>
        <w:tc>
          <w:tcPr>
            <w:tcW w:w="660" w:type="dxa"/>
            <w:vAlign w:val="bottom"/>
          </w:tcPr>
          <w:p>
            <w:pPr>
              <w:jc w:val="center"/>
              <w:ind w:left="112"/>
              <w:spacing w:after="0"/>
              <w:rPr>
                <w:sz w:val="20"/>
                <w:szCs w:val="20"/>
                <w:color w:val="auto"/>
              </w:rPr>
            </w:pPr>
            <w:r>
              <w:rPr>
                <w:rFonts w:ascii="Times New Roman" w:cs="Times New Roman" w:eastAsia="Times New Roman" w:hAnsi="Times New Roman"/>
                <w:sz w:val="14"/>
                <w:szCs w:val="14"/>
                <w:color w:val="auto"/>
                <w:w w:val="91"/>
              </w:rPr>
              <w:t>3.1</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20" w:type="dxa"/>
            <w:vAlign w:val="bottom"/>
            <w:tcBorders>
              <w:bottom w:val="single" w:sz="8" w:color="0000EE"/>
            </w:tcBorders>
            <w:gridSpan w:val="26"/>
          </w:tcPr>
          <w:p>
            <w:pPr>
              <w:spacing w:after="0"/>
              <w:rPr>
                <w:rFonts w:ascii="Times New Roman" w:cs="Times New Roman" w:eastAsia="Times New Roman" w:hAnsi="Times New Roman"/>
                <w:sz w:val="14"/>
                <w:szCs w:val="14"/>
                <w:color w:val="0000EE"/>
                <w:w w:val="96"/>
              </w:rPr>
            </w:pPr>
            <w:hyperlink r:id="rId89">
              <w:r>
                <w:rPr>
                  <w:rFonts w:ascii="Times New Roman" w:cs="Times New Roman" w:eastAsia="Times New Roman" w:hAnsi="Times New Roman"/>
                  <w:sz w:val="14"/>
                  <w:szCs w:val="14"/>
                  <w:color w:val="0000EE"/>
                  <w:w w:val="96"/>
                </w:rPr>
                <w:t>Memorandum of Association of Shell plc (f/k/a Royal Dutch Shell plc), together with a special resolution of Royal Dutch</w:t>
              </w:r>
            </w:hyperlink>
          </w:p>
        </w:tc>
        <w:tc>
          <w:tcPr>
            <w:tcW w:w="80" w:type="dxa"/>
            <w:vAlign w:val="bottom"/>
            <w:gridSpan w:val="3"/>
          </w:tcPr>
          <w:p>
            <w:pPr>
              <w:spacing w:after="0"/>
              <w:rPr>
                <w:sz w:val="17"/>
                <w:szCs w:val="17"/>
                <w:color w:val="auto"/>
              </w:rPr>
            </w:pPr>
          </w:p>
        </w:tc>
      </w:tr>
      <w:tr>
        <w:trPr>
          <w:trHeight w:val="143"/>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520" w:type="dxa"/>
            <w:vAlign w:val="bottom"/>
            <w:tcBorders>
              <w:bottom w:val="single" w:sz="8" w:color="0000EE"/>
            </w:tcBorders>
            <w:gridSpan w:val="23"/>
          </w:tcPr>
          <w:p>
            <w:pPr>
              <w:spacing w:after="0" w:line="143" w:lineRule="exact"/>
              <w:rPr>
                <w:rFonts w:ascii="Times New Roman" w:cs="Times New Roman" w:eastAsia="Times New Roman" w:hAnsi="Times New Roman"/>
                <w:sz w:val="14"/>
                <w:szCs w:val="14"/>
                <w:color w:val="0000EE"/>
                <w:w w:val="97"/>
              </w:rPr>
            </w:pPr>
            <w:hyperlink r:id="rId89">
              <w:r>
                <w:rPr>
                  <w:rFonts w:ascii="Times New Roman" w:cs="Times New Roman" w:eastAsia="Times New Roman" w:hAnsi="Times New Roman"/>
                  <w:sz w:val="14"/>
                  <w:szCs w:val="14"/>
                  <w:color w:val="0000EE"/>
                  <w:w w:val="97"/>
                </w:rPr>
                <w:t>Shell plc dated 18 May 2010 (incorporated by reference to Exhibit 4.12 to the Registration Statement on Form F-3 (No.</w:t>
              </w:r>
            </w:hyperlink>
          </w:p>
        </w:tc>
        <w:tc>
          <w:tcPr>
            <w:tcW w:w="180" w:type="dxa"/>
            <w:vAlign w:val="bottom"/>
            <w:gridSpan w:val="6"/>
          </w:tcPr>
          <w:p>
            <w:pPr>
              <w:spacing w:after="0"/>
              <w:rPr>
                <w:sz w:val="12"/>
                <w:szCs w:val="12"/>
                <w:color w:val="auto"/>
              </w:rPr>
            </w:pPr>
          </w:p>
        </w:tc>
      </w:tr>
      <w:tr>
        <w:trPr>
          <w:trHeight w:val="143"/>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700" w:type="dxa"/>
            <w:vAlign w:val="bottom"/>
            <w:gridSpan w:val="29"/>
          </w:tcPr>
          <w:p>
            <w:pPr>
              <w:spacing w:after="0" w:line="143" w:lineRule="exact"/>
              <w:rPr>
                <w:rFonts w:ascii="Times New Roman" w:cs="Times New Roman" w:eastAsia="Times New Roman" w:hAnsi="Times New Roman"/>
                <w:sz w:val="14"/>
                <w:szCs w:val="14"/>
                <w:color w:val="0000EE"/>
              </w:rPr>
            </w:pPr>
            <w:hyperlink r:id="rId89">
              <w:r>
                <w:rPr>
                  <w:rFonts w:ascii="Times New Roman" w:cs="Times New Roman" w:eastAsia="Times New Roman" w:hAnsi="Times New Roman"/>
                  <w:sz w:val="14"/>
                  <w:szCs w:val="14"/>
                  <w:color w:val="0000EE"/>
                </w:rPr>
                <w:t>333-177588) of Shell plc filed with the U.S. Securities and Exchange Commission on October 28, 2011).</w:t>
              </w:r>
            </w:hyperlink>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660" w:type="dxa"/>
            <w:vAlign w:val="bottom"/>
          </w:tcPr>
          <w:p>
            <w:pPr>
              <w:jc w:val="center"/>
              <w:ind w:left="112"/>
              <w:spacing w:after="0"/>
              <w:rPr>
                <w:sz w:val="20"/>
                <w:szCs w:val="20"/>
                <w:color w:val="auto"/>
              </w:rPr>
            </w:pPr>
            <w:r>
              <w:rPr>
                <w:rFonts w:ascii="Times New Roman" w:cs="Times New Roman" w:eastAsia="Times New Roman" w:hAnsi="Times New Roman"/>
                <w:sz w:val="14"/>
                <w:szCs w:val="14"/>
                <w:color w:val="auto"/>
                <w:w w:val="91"/>
              </w:rPr>
              <w:t>3.2</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700" w:type="dxa"/>
            <w:vAlign w:val="bottom"/>
            <w:gridSpan w:val="29"/>
          </w:tcPr>
          <w:p>
            <w:pPr>
              <w:spacing w:after="0"/>
              <w:rPr>
                <w:rFonts w:ascii="Times New Roman" w:cs="Times New Roman" w:eastAsia="Times New Roman" w:hAnsi="Times New Roman"/>
                <w:sz w:val="14"/>
                <w:szCs w:val="14"/>
                <w:color w:val="0000EE"/>
              </w:rPr>
            </w:pPr>
            <w:hyperlink r:id="rId90">
              <w:r>
                <w:rPr>
                  <w:rFonts w:ascii="Times New Roman" w:cs="Times New Roman" w:eastAsia="Times New Roman" w:hAnsi="Times New Roman"/>
                  <w:sz w:val="14"/>
                  <w:szCs w:val="14"/>
                  <w:color w:val="0000EE"/>
                </w:rPr>
                <w:t>Articles of Association of Shell plc, dated May 23, 2023 (incorporated by reference to Exhibit 4.2 to the Registration</w:t>
              </w:r>
            </w:hyperlink>
          </w:p>
        </w:tc>
      </w:tr>
      <w:tr>
        <w:trPr>
          <w:trHeight w:val="143"/>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0" w:type="dxa"/>
            <w:vAlign w:val="bottom"/>
            <w:tcBorders>
              <w:top w:val="single" w:sz="8" w:color="0000EE"/>
            </w:tcBorders>
            <w:gridSpan w:val="21"/>
          </w:tcPr>
          <w:p>
            <w:pPr>
              <w:spacing w:after="0" w:line="143" w:lineRule="exact"/>
              <w:rPr>
                <w:rFonts w:ascii="Times New Roman" w:cs="Times New Roman" w:eastAsia="Times New Roman" w:hAnsi="Times New Roman"/>
                <w:sz w:val="14"/>
                <w:szCs w:val="14"/>
                <w:color w:val="0000EE"/>
                <w:w w:val="99"/>
              </w:rPr>
            </w:pPr>
            <w:hyperlink r:id="rId90">
              <w:r>
                <w:rPr>
                  <w:rFonts w:ascii="Times New Roman" w:cs="Times New Roman" w:eastAsia="Times New Roman" w:hAnsi="Times New Roman"/>
                  <w:sz w:val="14"/>
                  <w:szCs w:val="14"/>
                  <w:color w:val="0000EE"/>
                  <w:w w:val="99"/>
                </w:rPr>
                <w:t>Statement on Form S-8 (No. 001-272192) of Shell plc filed with the U.S. Securities and Exchange Commission on</w:t>
              </w:r>
            </w:hyperlink>
          </w:p>
        </w:tc>
        <w:tc>
          <w:tcPr>
            <w:tcW w:w="300" w:type="dxa"/>
            <w:vAlign w:val="bottom"/>
            <w:gridSpan w:val="8"/>
          </w:tcPr>
          <w:p>
            <w:pPr>
              <w:spacing w:after="0"/>
              <w:rPr>
                <w:sz w:val="12"/>
                <w:szCs w:val="12"/>
                <w:color w:val="auto"/>
              </w:rPr>
            </w:pPr>
          </w:p>
        </w:tc>
      </w:tr>
      <w:tr>
        <w:trPr>
          <w:trHeight w:val="143"/>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40" w:type="dxa"/>
            <w:vAlign w:val="bottom"/>
            <w:tcBorders>
              <w:top w:val="single" w:sz="8" w:color="0000EE"/>
            </w:tcBorders>
            <w:gridSpan w:val="20"/>
          </w:tcPr>
          <w:p>
            <w:pPr>
              <w:spacing w:after="0" w:line="143" w:lineRule="exact"/>
              <w:rPr>
                <w:rFonts w:ascii="Times New Roman" w:cs="Times New Roman" w:eastAsia="Times New Roman" w:hAnsi="Times New Roman"/>
                <w:sz w:val="14"/>
                <w:szCs w:val="14"/>
                <w:color w:val="0000EE"/>
              </w:rPr>
            </w:pPr>
            <w:hyperlink r:id="rId90">
              <w:r>
                <w:rPr>
                  <w:rFonts w:ascii="Times New Roman" w:cs="Times New Roman" w:eastAsia="Times New Roman" w:hAnsi="Times New Roman"/>
                  <w:sz w:val="14"/>
                  <w:szCs w:val="14"/>
                  <w:color w:val="0000EE"/>
                </w:rPr>
                <w:t>May 25, 2023).</w:t>
              </w:r>
            </w:hyperlink>
          </w:p>
        </w:tc>
        <w:tc>
          <w:tcPr>
            <w:tcW w:w="460" w:type="dxa"/>
            <w:vAlign w:val="bottom"/>
            <w:gridSpan w:val="9"/>
          </w:tcPr>
          <w:p>
            <w:pPr>
              <w:spacing w:after="0"/>
              <w:rPr>
                <w:sz w:val="12"/>
                <w:szCs w:val="12"/>
                <w:color w:val="auto"/>
              </w:rPr>
            </w:pP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660" w:type="dxa"/>
            <w:vAlign w:val="bottom"/>
          </w:tcPr>
          <w:p>
            <w:pPr>
              <w:jc w:val="center"/>
              <w:ind w:left="112"/>
              <w:spacing w:after="0"/>
              <w:rPr>
                <w:sz w:val="20"/>
                <w:szCs w:val="20"/>
                <w:color w:val="auto"/>
              </w:rPr>
            </w:pPr>
            <w:r>
              <w:rPr>
                <w:rFonts w:ascii="Times New Roman" w:cs="Times New Roman" w:eastAsia="Times New Roman" w:hAnsi="Times New Roman"/>
                <w:sz w:val="14"/>
                <w:szCs w:val="14"/>
                <w:color w:val="auto"/>
                <w:w w:val="91"/>
              </w:rPr>
              <w:t>4.1</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700" w:type="dxa"/>
            <w:vAlign w:val="bottom"/>
            <w:gridSpan w:val="29"/>
          </w:tcPr>
          <w:p>
            <w:pPr>
              <w:spacing w:after="0"/>
              <w:rPr>
                <w:rFonts w:ascii="Times New Roman" w:cs="Times New Roman" w:eastAsia="Times New Roman" w:hAnsi="Times New Roman"/>
                <w:sz w:val="14"/>
                <w:szCs w:val="14"/>
                <w:color w:val="0000EE"/>
              </w:rPr>
            </w:pPr>
            <w:hyperlink r:id="rId91">
              <w:r>
                <w:rPr>
                  <w:rFonts w:ascii="Times New Roman" w:cs="Times New Roman" w:eastAsia="Times New Roman" w:hAnsi="Times New Roman"/>
                  <w:sz w:val="14"/>
                  <w:szCs w:val="14"/>
                  <w:color w:val="0000EE"/>
                </w:rPr>
                <w:t>Senior Indenture, among Shell Finance US Inc., Shell plc (f/k/a Royal Dutch Shell plc) and Deutsche Bank Trust</w:t>
              </w:r>
            </w:hyperlink>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700" w:type="dxa"/>
            <w:vAlign w:val="bottom"/>
            <w:gridSpan w:val="29"/>
          </w:tcPr>
          <w:p>
            <w:pPr>
              <w:spacing w:after="0" w:line="143" w:lineRule="exact"/>
              <w:rPr>
                <w:rFonts w:ascii="Times New Roman" w:cs="Times New Roman" w:eastAsia="Times New Roman" w:hAnsi="Times New Roman"/>
                <w:sz w:val="14"/>
                <w:szCs w:val="14"/>
                <w:color w:val="0000EE"/>
                <w:w w:val="97"/>
              </w:rPr>
            </w:pPr>
            <w:hyperlink r:id="rId91">
              <w:r>
                <w:rPr>
                  <w:rFonts w:ascii="Times New Roman" w:cs="Times New Roman" w:eastAsia="Times New Roman" w:hAnsi="Times New Roman"/>
                  <w:sz w:val="14"/>
                  <w:szCs w:val="14"/>
                  <w:color w:val="0000EE"/>
                  <w:w w:val="97"/>
                </w:rPr>
                <w:t>Company Americas dated as of October 8, 2024 (incorporated by reference to Exhibit 99.1 to Form 6-K (No. 001- 32575)</w:t>
              </w:r>
            </w:hyperlink>
          </w:p>
        </w:tc>
      </w:tr>
      <w:tr>
        <w:trPr>
          <w:trHeight w:val="143"/>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40" w:type="dxa"/>
            <w:vAlign w:val="bottom"/>
            <w:tcBorders>
              <w:top w:val="single" w:sz="8" w:color="0000EE"/>
            </w:tcBorders>
            <w:gridSpan w:val="27"/>
          </w:tcPr>
          <w:p>
            <w:pPr>
              <w:spacing w:after="0" w:line="143" w:lineRule="exact"/>
              <w:rPr>
                <w:rFonts w:ascii="Times New Roman" w:cs="Times New Roman" w:eastAsia="Times New Roman" w:hAnsi="Times New Roman"/>
                <w:sz w:val="14"/>
                <w:szCs w:val="14"/>
                <w:color w:val="0000EE"/>
              </w:rPr>
            </w:pPr>
            <w:hyperlink r:id="rId91">
              <w:r>
                <w:rPr>
                  <w:rFonts w:ascii="Times New Roman" w:cs="Times New Roman" w:eastAsia="Times New Roman" w:hAnsi="Times New Roman"/>
                  <w:sz w:val="14"/>
                  <w:szCs w:val="14"/>
                  <w:color w:val="0000EE"/>
                </w:rPr>
                <w:t>of Shell plc filed with the U.S. Securities and Exchange Commission on October 8, 2024).</w:t>
              </w:r>
            </w:hyperlink>
          </w:p>
        </w:tc>
        <w:tc>
          <w:tcPr>
            <w:tcW w:w="60" w:type="dxa"/>
            <w:vAlign w:val="bottom"/>
            <w:gridSpan w:val="2"/>
          </w:tcPr>
          <w:p>
            <w:pPr>
              <w:spacing w:after="0"/>
              <w:rPr>
                <w:sz w:val="12"/>
                <w:szCs w:val="12"/>
                <w:color w:val="auto"/>
              </w:rPr>
            </w:pP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660" w:type="dxa"/>
            <w:vAlign w:val="bottom"/>
          </w:tcPr>
          <w:p>
            <w:pPr>
              <w:jc w:val="center"/>
              <w:ind w:left="112"/>
              <w:spacing w:after="0"/>
              <w:rPr>
                <w:sz w:val="20"/>
                <w:szCs w:val="20"/>
                <w:color w:val="auto"/>
              </w:rPr>
            </w:pPr>
            <w:r>
              <w:rPr>
                <w:rFonts w:ascii="Times New Roman" w:cs="Times New Roman" w:eastAsia="Times New Roman" w:hAnsi="Times New Roman"/>
                <w:sz w:val="14"/>
                <w:szCs w:val="14"/>
                <w:color w:val="auto"/>
                <w:w w:val="91"/>
              </w:rPr>
              <w:t>4.2</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4"/>
                <w:szCs w:val="14"/>
                <w:color w:val="0000EE"/>
                <w:w w:val="96"/>
              </w:rPr>
              <w:t>Registration Rights Agreement, among Shell Finance US Inc., Shell plc and BofA Securities, Inc., Deutsche Bank</w:t>
            </w:r>
          </w:p>
        </w:tc>
        <w:tc>
          <w:tcPr>
            <w:tcW w:w="480" w:type="dxa"/>
            <w:vAlign w:val="bottom"/>
            <w:gridSpan w:val="10"/>
          </w:tcPr>
          <w:p>
            <w:pPr>
              <w:spacing w:after="0"/>
              <w:rPr>
                <w:sz w:val="19"/>
                <w:szCs w:val="19"/>
                <w:color w:val="auto"/>
              </w:rPr>
            </w:pPr>
          </w:p>
        </w:tc>
      </w:tr>
      <w:tr>
        <w:trPr>
          <w:trHeight w:val="143"/>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20" w:type="dxa"/>
            <w:vAlign w:val="bottom"/>
            <w:tcBorders>
              <w:bottom w:val="single" w:sz="8" w:color="0000EE"/>
            </w:tcBorders>
            <w:gridSpan w:val="12"/>
          </w:tcPr>
          <w:p>
            <w:pPr>
              <w:spacing w:after="0" w:line="143" w:lineRule="exact"/>
              <w:rPr>
                <w:sz w:val="20"/>
                <w:szCs w:val="20"/>
                <w:color w:val="auto"/>
              </w:rPr>
            </w:pPr>
            <w:r>
              <w:rPr>
                <w:rFonts w:ascii="Times New Roman" w:cs="Times New Roman" w:eastAsia="Times New Roman" w:hAnsi="Times New Roman"/>
                <w:sz w:val="14"/>
                <w:szCs w:val="14"/>
                <w:color w:val="0000EE"/>
                <w:w w:val="96"/>
              </w:rPr>
              <w:t>Securities Inc. and TD Securities (USA) LLC, dated as of December 8, 2025.</w:t>
            </w:r>
          </w:p>
        </w:tc>
        <w:tc>
          <w:tcPr>
            <w:tcW w:w="2480" w:type="dxa"/>
            <w:vAlign w:val="bottom"/>
            <w:gridSpan w:val="17"/>
          </w:tcPr>
          <w:p>
            <w:pPr>
              <w:spacing w:after="0"/>
              <w:rPr>
                <w:sz w:val="12"/>
                <w:szCs w:val="12"/>
                <w:color w:val="auto"/>
              </w:rPr>
            </w:pPr>
          </w:p>
        </w:tc>
      </w:tr>
      <w:tr>
        <w:trPr>
          <w:trHeight w:val="225"/>
        </w:trPr>
        <w:tc>
          <w:tcPr>
            <w:tcW w:w="660" w:type="dxa"/>
            <w:vAlign w:val="bottom"/>
          </w:tcPr>
          <w:p>
            <w:pPr>
              <w:jc w:val="center"/>
              <w:ind w:left="112"/>
              <w:spacing w:after="0"/>
              <w:rPr>
                <w:sz w:val="20"/>
                <w:szCs w:val="20"/>
                <w:color w:val="auto"/>
              </w:rPr>
            </w:pPr>
            <w:r>
              <w:rPr>
                <w:rFonts w:ascii="Times New Roman" w:cs="Times New Roman" w:eastAsia="Times New Roman" w:hAnsi="Times New Roman"/>
                <w:sz w:val="14"/>
                <w:szCs w:val="14"/>
                <w:color w:val="auto"/>
                <w:w w:val="91"/>
              </w:rPr>
              <w:t>4.3</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700" w:type="dxa"/>
            <w:vAlign w:val="bottom"/>
            <w:gridSpan w:val="29"/>
          </w:tcPr>
          <w:p>
            <w:pPr>
              <w:spacing w:after="0"/>
              <w:rPr>
                <w:sz w:val="20"/>
                <w:szCs w:val="20"/>
                <w:color w:val="auto"/>
              </w:rPr>
            </w:pPr>
            <w:r>
              <w:rPr>
                <w:rFonts w:ascii="Times New Roman" w:cs="Times New Roman" w:eastAsia="Times New Roman" w:hAnsi="Times New Roman"/>
                <w:sz w:val="14"/>
                <w:szCs w:val="14"/>
                <w:color w:val="0000EE"/>
              </w:rPr>
              <w:t>Form of Exchange Notes of Shell Finance US Inc.</w:t>
            </w: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660" w:type="dxa"/>
            <w:vAlign w:val="bottom"/>
          </w:tcPr>
          <w:p>
            <w:pPr>
              <w:jc w:val="center"/>
              <w:ind w:left="112"/>
              <w:spacing w:after="0"/>
              <w:rPr>
                <w:sz w:val="20"/>
                <w:szCs w:val="20"/>
                <w:color w:val="auto"/>
              </w:rPr>
            </w:pPr>
            <w:r>
              <w:rPr>
                <w:rFonts w:ascii="Times New Roman" w:cs="Times New Roman" w:eastAsia="Times New Roman" w:hAnsi="Times New Roman"/>
                <w:sz w:val="14"/>
                <w:szCs w:val="14"/>
                <w:color w:val="auto"/>
                <w:w w:val="91"/>
              </w:rPr>
              <w:t>5.1</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700" w:type="dxa"/>
            <w:vAlign w:val="bottom"/>
            <w:gridSpan w:val="29"/>
          </w:tcPr>
          <w:p>
            <w:pPr>
              <w:spacing w:after="0"/>
              <w:rPr>
                <w:sz w:val="20"/>
                <w:szCs w:val="20"/>
                <w:color w:val="auto"/>
              </w:rPr>
            </w:pPr>
            <w:r>
              <w:rPr>
                <w:rFonts w:ascii="Times New Roman" w:cs="Times New Roman" w:eastAsia="Times New Roman" w:hAnsi="Times New Roman"/>
                <w:sz w:val="14"/>
                <w:szCs w:val="14"/>
                <w:color w:val="0000EE"/>
                <w:w w:val="98"/>
              </w:rPr>
              <w:t>Opinion of Slaughter and May, English solicitors to Shell plc, as to the validity of the Guarantees as to certain matters of</w:t>
            </w:r>
          </w:p>
        </w:tc>
      </w:tr>
      <w:tr>
        <w:trPr>
          <w:trHeight w:val="143"/>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Borders>
              <w:top w:val="single" w:sz="8" w:color="0000EE"/>
              <w:bottom w:val="single" w:sz="8" w:color="0000EE"/>
            </w:tcBorders>
            <w:gridSpan w:val="2"/>
          </w:tcPr>
          <w:p>
            <w:pPr>
              <w:spacing w:after="0" w:line="143" w:lineRule="exact"/>
              <w:rPr>
                <w:sz w:val="20"/>
                <w:szCs w:val="20"/>
                <w:color w:val="auto"/>
              </w:rPr>
            </w:pPr>
            <w:r>
              <w:rPr>
                <w:rFonts w:ascii="Times New Roman" w:cs="Times New Roman" w:eastAsia="Times New Roman" w:hAnsi="Times New Roman"/>
                <w:sz w:val="14"/>
                <w:szCs w:val="14"/>
                <w:color w:val="0000EE"/>
                <w:w w:val="94"/>
              </w:rPr>
              <w:t>English law.</w:t>
            </w:r>
          </w:p>
        </w:tc>
        <w:tc>
          <w:tcPr>
            <w:tcW w:w="5880" w:type="dxa"/>
            <w:vAlign w:val="bottom"/>
            <w:tcBorders>
              <w:top w:val="single" w:sz="8" w:color="0000EE"/>
            </w:tcBorders>
            <w:gridSpan w:val="23"/>
          </w:tcPr>
          <w:p>
            <w:pPr>
              <w:spacing w:after="0"/>
              <w:rPr>
                <w:sz w:val="12"/>
                <w:szCs w:val="12"/>
                <w:color w:val="auto"/>
              </w:rPr>
            </w:pPr>
          </w:p>
        </w:tc>
        <w:tc>
          <w:tcPr>
            <w:tcW w:w="140" w:type="dxa"/>
            <w:vAlign w:val="bottom"/>
            <w:gridSpan w:val="4"/>
          </w:tcPr>
          <w:p>
            <w:pPr>
              <w:spacing w:after="0"/>
              <w:rPr>
                <w:sz w:val="12"/>
                <w:szCs w:val="12"/>
                <w:color w:val="auto"/>
              </w:rPr>
            </w:pPr>
          </w:p>
        </w:tc>
      </w:tr>
      <w:tr>
        <w:trPr>
          <w:trHeight w:val="225"/>
        </w:trPr>
        <w:tc>
          <w:tcPr>
            <w:tcW w:w="660" w:type="dxa"/>
            <w:vAlign w:val="bottom"/>
          </w:tcPr>
          <w:p>
            <w:pPr>
              <w:jc w:val="center"/>
              <w:ind w:left="112"/>
              <w:spacing w:after="0"/>
              <w:rPr>
                <w:sz w:val="20"/>
                <w:szCs w:val="20"/>
                <w:color w:val="auto"/>
              </w:rPr>
            </w:pPr>
            <w:r>
              <w:rPr>
                <w:rFonts w:ascii="Times New Roman" w:cs="Times New Roman" w:eastAsia="Times New Roman" w:hAnsi="Times New Roman"/>
                <w:sz w:val="14"/>
                <w:szCs w:val="14"/>
                <w:color w:val="auto"/>
                <w:w w:val="91"/>
              </w:rPr>
              <w:t>5.2</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6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4"/>
                <w:szCs w:val="14"/>
                <w:color w:val="0000EE"/>
                <w:w w:val="96"/>
              </w:rPr>
              <w:t>Opinion of Cravath, Swaine &amp; Moore LLP, U.S. legal advisors to Shell plc and Shell Finance US Inc., as to the validity of</w:t>
            </w:r>
          </w:p>
        </w:tc>
        <w:tc>
          <w:tcPr>
            <w:tcW w:w="40" w:type="dxa"/>
            <w:vAlign w:val="bottom"/>
          </w:tcPr>
          <w:p>
            <w:pPr>
              <w:spacing w:after="0"/>
              <w:rPr>
                <w:sz w:val="19"/>
                <w:szCs w:val="19"/>
                <w:color w:val="auto"/>
              </w:rPr>
            </w:pPr>
          </w:p>
        </w:tc>
      </w:tr>
      <w:tr>
        <w:trPr>
          <w:trHeight w:val="143"/>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700" w:type="dxa"/>
            <w:vAlign w:val="bottom"/>
            <w:gridSpan w:val="29"/>
          </w:tcPr>
          <w:p>
            <w:pPr>
              <w:spacing w:after="0" w:line="143" w:lineRule="exact"/>
              <w:rPr>
                <w:sz w:val="20"/>
                <w:szCs w:val="20"/>
                <w:color w:val="auto"/>
              </w:rPr>
            </w:pPr>
            <w:r>
              <w:rPr>
                <w:rFonts w:ascii="Times New Roman" w:cs="Times New Roman" w:eastAsia="Times New Roman" w:hAnsi="Times New Roman"/>
                <w:sz w:val="14"/>
                <w:szCs w:val="14"/>
                <w:color w:val="0000EE"/>
              </w:rPr>
              <w:t>the Exchange Notes.</w:t>
            </w: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660" w:type="dxa"/>
            <w:vAlign w:val="bottom"/>
          </w:tcPr>
          <w:p>
            <w:pPr>
              <w:jc w:val="center"/>
              <w:ind w:left="112"/>
              <w:spacing w:after="0"/>
              <w:rPr>
                <w:sz w:val="20"/>
                <w:szCs w:val="20"/>
                <w:color w:val="auto"/>
              </w:rPr>
            </w:pPr>
            <w:r>
              <w:rPr>
                <w:rFonts w:ascii="Times New Roman" w:cs="Times New Roman" w:eastAsia="Times New Roman" w:hAnsi="Times New Roman"/>
                <w:sz w:val="14"/>
                <w:szCs w:val="14"/>
                <w:color w:val="auto"/>
                <w:w w:val="97"/>
              </w:rPr>
              <w:t>21.1</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Borders>
              <w:bottom w:val="single" w:sz="8" w:color="0000EE"/>
            </w:tcBorders>
            <w:gridSpan w:val="22"/>
          </w:tcPr>
          <w:p>
            <w:pPr>
              <w:spacing w:after="0"/>
              <w:rPr>
                <w:rFonts w:ascii="Times New Roman" w:cs="Times New Roman" w:eastAsia="Times New Roman" w:hAnsi="Times New Roman"/>
                <w:sz w:val="14"/>
                <w:szCs w:val="14"/>
                <w:color w:val="0000EE"/>
                <w:w w:val="97"/>
              </w:rPr>
            </w:pPr>
            <w:hyperlink r:id="rId92">
              <w:r>
                <w:rPr>
                  <w:rFonts w:ascii="Times New Roman" w:cs="Times New Roman" w:eastAsia="Times New Roman" w:hAnsi="Times New Roman"/>
                  <w:sz w:val="14"/>
                  <w:szCs w:val="14"/>
                  <w:color w:val="0000EE"/>
                  <w:w w:val="97"/>
                </w:rPr>
                <w:t>Significant Shell Subsidiaries at December 31, 2025 (incorporated by reference to Exhibit 8.1 to the Annual Report on</w:t>
              </w:r>
            </w:hyperlink>
          </w:p>
        </w:tc>
        <w:tc>
          <w:tcPr>
            <w:tcW w:w="240" w:type="dxa"/>
            <w:vAlign w:val="bottom"/>
            <w:gridSpan w:val="7"/>
          </w:tcPr>
          <w:p>
            <w:pPr>
              <w:spacing w:after="0"/>
              <w:rPr>
                <w:sz w:val="19"/>
                <w:szCs w:val="19"/>
                <w:color w:val="auto"/>
              </w:rPr>
            </w:pPr>
          </w:p>
        </w:tc>
      </w:tr>
      <w:tr>
        <w:trPr>
          <w:trHeight w:val="143"/>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540" w:type="dxa"/>
            <w:vAlign w:val="bottom"/>
            <w:tcBorders>
              <w:bottom w:val="single" w:sz="8" w:color="0000EE"/>
            </w:tcBorders>
            <w:gridSpan w:val="24"/>
          </w:tcPr>
          <w:p>
            <w:pPr>
              <w:spacing w:after="0" w:line="143" w:lineRule="exact"/>
              <w:rPr>
                <w:rFonts w:ascii="Times New Roman" w:cs="Times New Roman" w:eastAsia="Times New Roman" w:hAnsi="Times New Roman"/>
                <w:sz w:val="14"/>
                <w:szCs w:val="14"/>
                <w:color w:val="0000EE"/>
                <w:w w:val="96"/>
              </w:rPr>
            </w:pPr>
            <w:hyperlink r:id="rId92">
              <w:r>
                <w:rPr>
                  <w:rFonts w:ascii="Times New Roman" w:cs="Times New Roman" w:eastAsia="Times New Roman" w:hAnsi="Times New Roman"/>
                  <w:sz w:val="14"/>
                  <w:szCs w:val="14"/>
                  <w:color w:val="0000EE"/>
                  <w:w w:val="96"/>
                </w:rPr>
                <w:t>Form 20-F (File No. 001-32575) of Shell plc for the fiscal year ended December 31, 2025, filed with the U.S. Securities</w:t>
              </w:r>
            </w:hyperlink>
          </w:p>
        </w:tc>
        <w:tc>
          <w:tcPr>
            <w:tcW w:w="160" w:type="dxa"/>
            <w:vAlign w:val="bottom"/>
            <w:gridSpan w:val="5"/>
          </w:tcPr>
          <w:p>
            <w:pPr>
              <w:spacing w:after="0"/>
              <w:rPr>
                <w:sz w:val="12"/>
                <w:szCs w:val="12"/>
                <w:color w:val="auto"/>
              </w:rPr>
            </w:pPr>
          </w:p>
        </w:tc>
      </w:tr>
      <w:tr>
        <w:trPr>
          <w:trHeight w:val="143"/>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40" w:type="dxa"/>
            <w:vAlign w:val="bottom"/>
            <w:tcBorders>
              <w:bottom w:val="single" w:sz="8" w:color="0000EE"/>
            </w:tcBorders>
            <w:gridSpan w:val="9"/>
          </w:tcPr>
          <w:p>
            <w:pPr>
              <w:spacing w:after="0" w:line="143" w:lineRule="exact"/>
              <w:rPr>
                <w:rFonts w:ascii="Times New Roman" w:cs="Times New Roman" w:eastAsia="Times New Roman" w:hAnsi="Times New Roman"/>
                <w:sz w:val="14"/>
                <w:szCs w:val="14"/>
                <w:color w:val="0000EE"/>
                <w:w w:val="96"/>
              </w:rPr>
            </w:pPr>
            <w:hyperlink r:id="rId92">
              <w:r>
                <w:rPr>
                  <w:rFonts w:ascii="Times New Roman" w:cs="Times New Roman" w:eastAsia="Times New Roman" w:hAnsi="Times New Roman"/>
                  <w:sz w:val="14"/>
                  <w:szCs w:val="14"/>
                  <w:color w:val="0000EE"/>
                  <w:w w:val="96"/>
                </w:rPr>
                <w:t>and Exchange Commission on March 12, 2026).</w:t>
              </w:r>
            </w:hyperlink>
          </w:p>
        </w:tc>
        <w:tc>
          <w:tcPr>
            <w:tcW w:w="4060" w:type="dxa"/>
            <w:vAlign w:val="bottom"/>
            <w:gridSpan w:val="20"/>
          </w:tcPr>
          <w:p>
            <w:pPr>
              <w:spacing w:after="0"/>
              <w:rPr>
                <w:sz w:val="12"/>
                <w:szCs w:val="12"/>
                <w:color w:val="auto"/>
              </w:rPr>
            </w:pPr>
          </w:p>
        </w:tc>
      </w:tr>
      <w:tr>
        <w:trPr>
          <w:trHeight w:val="225"/>
        </w:trPr>
        <w:tc>
          <w:tcPr>
            <w:tcW w:w="660" w:type="dxa"/>
            <w:vAlign w:val="bottom"/>
          </w:tcPr>
          <w:p>
            <w:pPr>
              <w:jc w:val="center"/>
              <w:ind w:left="112"/>
              <w:spacing w:after="0"/>
              <w:rPr>
                <w:sz w:val="20"/>
                <w:szCs w:val="20"/>
                <w:color w:val="auto"/>
              </w:rPr>
            </w:pPr>
            <w:r>
              <w:rPr>
                <w:rFonts w:ascii="Times New Roman" w:cs="Times New Roman" w:eastAsia="Times New Roman" w:hAnsi="Times New Roman"/>
                <w:sz w:val="14"/>
                <w:szCs w:val="14"/>
                <w:color w:val="auto"/>
                <w:w w:val="97"/>
              </w:rPr>
              <w:t>22.1</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700" w:type="dxa"/>
            <w:vAlign w:val="bottom"/>
            <w:gridSpan w:val="29"/>
          </w:tcPr>
          <w:p>
            <w:pPr>
              <w:spacing w:after="0"/>
              <w:rPr>
                <w:sz w:val="20"/>
                <w:szCs w:val="20"/>
                <w:color w:val="auto"/>
              </w:rPr>
            </w:pPr>
            <w:r>
              <w:rPr>
                <w:rFonts w:ascii="Times New Roman" w:cs="Times New Roman" w:eastAsia="Times New Roman" w:hAnsi="Times New Roman"/>
                <w:sz w:val="14"/>
                <w:szCs w:val="14"/>
                <w:color w:val="0000EE"/>
              </w:rPr>
              <w:t>Subsidiary Issuers of Guaranteed Securities.</w:t>
            </w:r>
          </w:p>
        </w:tc>
      </w:tr>
      <w:tr>
        <w:trPr>
          <w:trHeight w:val="225"/>
        </w:trPr>
        <w:tc>
          <w:tcPr>
            <w:tcW w:w="660" w:type="dxa"/>
            <w:vAlign w:val="bottom"/>
          </w:tcPr>
          <w:p>
            <w:pPr>
              <w:jc w:val="center"/>
              <w:ind w:left="112"/>
              <w:spacing w:after="0"/>
              <w:rPr>
                <w:sz w:val="20"/>
                <w:szCs w:val="20"/>
                <w:color w:val="auto"/>
              </w:rPr>
            </w:pPr>
            <w:r>
              <w:rPr>
                <w:rFonts w:ascii="Times New Roman" w:cs="Times New Roman" w:eastAsia="Times New Roman" w:hAnsi="Times New Roman"/>
                <w:sz w:val="14"/>
                <w:szCs w:val="14"/>
                <w:color w:val="auto"/>
                <w:w w:val="97"/>
              </w:rPr>
              <w:t>23.1</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rPr>
              <w:t>Consent of Ernst &amp; Young LLP.</w:t>
            </w:r>
          </w:p>
        </w:tc>
        <w:tc>
          <w:tcPr>
            <w:tcW w:w="4300" w:type="dxa"/>
            <w:vAlign w:val="bottom"/>
            <w:gridSpan w:val="21"/>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660" w:type="dxa"/>
            <w:vAlign w:val="bottom"/>
          </w:tcPr>
          <w:p>
            <w:pPr>
              <w:jc w:val="center"/>
              <w:ind w:left="112"/>
              <w:spacing w:after="0"/>
              <w:rPr>
                <w:sz w:val="20"/>
                <w:szCs w:val="20"/>
                <w:color w:val="auto"/>
              </w:rPr>
            </w:pPr>
            <w:r>
              <w:rPr>
                <w:rFonts w:ascii="Times New Roman" w:cs="Times New Roman" w:eastAsia="Times New Roman" w:hAnsi="Times New Roman"/>
                <w:sz w:val="14"/>
                <w:szCs w:val="14"/>
                <w:color w:val="auto"/>
                <w:w w:val="97"/>
              </w:rPr>
              <w:t>23.2</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700" w:type="dxa"/>
            <w:vAlign w:val="bottom"/>
            <w:gridSpan w:val="29"/>
          </w:tcPr>
          <w:p>
            <w:pPr>
              <w:spacing w:after="0"/>
              <w:rPr>
                <w:sz w:val="20"/>
                <w:szCs w:val="20"/>
                <w:color w:val="auto"/>
              </w:rPr>
            </w:pPr>
            <w:r>
              <w:rPr>
                <w:rFonts w:ascii="Times New Roman" w:cs="Times New Roman" w:eastAsia="Times New Roman" w:hAnsi="Times New Roman"/>
                <w:sz w:val="14"/>
                <w:szCs w:val="14"/>
                <w:color w:val="0000EE"/>
              </w:rPr>
              <w:t>Consent of Slaughter and May, English solicitors to Shell plc (included in Exhibit 5.1 herein).</w:t>
            </w: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660" w:type="dxa"/>
            <w:vAlign w:val="bottom"/>
          </w:tcPr>
          <w:p>
            <w:pPr>
              <w:jc w:val="center"/>
              <w:ind w:left="112"/>
              <w:spacing w:after="0"/>
              <w:rPr>
                <w:sz w:val="20"/>
                <w:szCs w:val="20"/>
                <w:color w:val="auto"/>
              </w:rPr>
            </w:pPr>
            <w:r>
              <w:rPr>
                <w:rFonts w:ascii="Times New Roman" w:cs="Times New Roman" w:eastAsia="Times New Roman" w:hAnsi="Times New Roman"/>
                <w:sz w:val="14"/>
                <w:szCs w:val="14"/>
                <w:color w:val="auto"/>
                <w:w w:val="97"/>
              </w:rPr>
              <w:t>23.3</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6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4"/>
                <w:szCs w:val="14"/>
                <w:color w:val="0000EE"/>
                <w:w w:val="96"/>
              </w:rPr>
              <w:t>Consent of Cravath, Swaine &amp; Moore LLP, U.S. legal advisors to Shell plc and Shell Finance US Inc. (included in Exhibit</w:t>
            </w:r>
          </w:p>
        </w:tc>
        <w:tc>
          <w:tcPr>
            <w:tcW w:w="40" w:type="dxa"/>
            <w:vAlign w:val="bottom"/>
          </w:tcPr>
          <w:p>
            <w:pPr>
              <w:spacing w:after="0"/>
              <w:rPr>
                <w:sz w:val="19"/>
                <w:szCs w:val="19"/>
                <w:color w:val="auto"/>
              </w:rPr>
            </w:pPr>
          </w:p>
        </w:tc>
      </w:tr>
      <w:tr>
        <w:trPr>
          <w:trHeight w:val="143"/>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700" w:type="dxa"/>
            <w:vAlign w:val="bottom"/>
            <w:gridSpan w:val="29"/>
          </w:tcPr>
          <w:p>
            <w:pPr>
              <w:spacing w:after="0" w:line="143" w:lineRule="exact"/>
              <w:rPr>
                <w:sz w:val="20"/>
                <w:szCs w:val="20"/>
                <w:color w:val="auto"/>
              </w:rPr>
            </w:pPr>
            <w:r>
              <w:rPr>
                <w:rFonts w:ascii="Times New Roman" w:cs="Times New Roman" w:eastAsia="Times New Roman" w:hAnsi="Times New Roman"/>
                <w:sz w:val="14"/>
                <w:szCs w:val="14"/>
                <w:color w:val="0000EE"/>
              </w:rPr>
              <w:t>5.</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0000EE"/>
              </w:rPr>
              <w:t xml:space="preserve"> herein).</w:t>
            </w: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500" w:type="dxa"/>
            <w:vAlign w:val="bottom"/>
            <w:gridSpan w:val="13"/>
          </w:tcPr>
          <w:p>
            <w:pPr>
              <w:spacing w:after="0" w:line="20" w:lineRule="exact"/>
              <w:rPr>
                <w:sz w:val="1"/>
                <w:szCs w:val="1"/>
                <w:color w:val="auto"/>
              </w:rPr>
            </w:pPr>
          </w:p>
        </w:tc>
      </w:tr>
      <w:tr>
        <w:trPr>
          <w:trHeight w:val="225"/>
        </w:trPr>
        <w:tc>
          <w:tcPr>
            <w:tcW w:w="660" w:type="dxa"/>
            <w:vAlign w:val="bottom"/>
          </w:tcPr>
          <w:p>
            <w:pPr>
              <w:jc w:val="center"/>
              <w:ind w:left="112"/>
              <w:spacing w:after="0"/>
              <w:rPr>
                <w:sz w:val="20"/>
                <w:szCs w:val="20"/>
                <w:color w:val="auto"/>
              </w:rPr>
            </w:pPr>
            <w:r>
              <w:rPr>
                <w:rFonts w:ascii="Times New Roman" w:cs="Times New Roman" w:eastAsia="Times New Roman" w:hAnsi="Times New Roman"/>
                <w:sz w:val="14"/>
                <w:szCs w:val="14"/>
                <w:color w:val="auto"/>
                <w:w w:val="97"/>
              </w:rPr>
              <w:t>24.1</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700" w:type="dxa"/>
            <w:vAlign w:val="bottom"/>
            <w:gridSpan w:val="29"/>
          </w:tcPr>
          <w:p>
            <w:pPr>
              <w:spacing w:after="0"/>
              <w:rPr>
                <w:sz w:val="20"/>
                <w:szCs w:val="20"/>
                <w:color w:val="auto"/>
              </w:rPr>
            </w:pPr>
            <w:r>
              <w:rPr>
                <w:rFonts w:ascii="Times New Roman" w:cs="Times New Roman" w:eastAsia="Times New Roman" w:hAnsi="Times New Roman"/>
                <w:sz w:val="14"/>
                <w:szCs w:val="14"/>
                <w:color w:val="0000EE"/>
              </w:rPr>
              <w:t>Power of attorney with respect to the Board of Directors of Shell plc.</w:t>
            </w: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500" w:type="dxa"/>
            <w:vAlign w:val="bottom"/>
            <w:gridSpan w:val="13"/>
          </w:tcPr>
          <w:p>
            <w:pPr>
              <w:spacing w:after="0" w:line="20" w:lineRule="exact"/>
              <w:rPr>
                <w:sz w:val="1"/>
                <w:szCs w:val="1"/>
                <w:color w:val="auto"/>
              </w:rPr>
            </w:pPr>
          </w:p>
        </w:tc>
      </w:tr>
      <w:tr>
        <w:trPr>
          <w:trHeight w:val="225"/>
        </w:trPr>
        <w:tc>
          <w:tcPr>
            <w:tcW w:w="660" w:type="dxa"/>
            <w:vAlign w:val="bottom"/>
          </w:tcPr>
          <w:p>
            <w:pPr>
              <w:jc w:val="center"/>
              <w:ind w:left="112"/>
              <w:spacing w:after="0"/>
              <w:rPr>
                <w:sz w:val="20"/>
                <w:szCs w:val="20"/>
                <w:color w:val="auto"/>
              </w:rPr>
            </w:pPr>
            <w:r>
              <w:rPr>
                <w:rFonts w:ascii="Times New Roman" w:cs="Times New Roman" w:eastAsia="Times New Roman" w:hAnsi="Times New Roman"/>
                <w:sz w:val="14"/>
                <w:szCs w:val="14"/>
                <w:color w:val="auto"/>
                <w:w w:val="97"/>
              </w:rPr>
              <w:t>25.1</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700" w:type="dxa"/>
            <w:vAlign w:val="bottom"/>
            <w:gridSpan w:val="29"/>
          </w:tcPr>
          <w:p>
            <w:pPr>
              <w:spacing w:after="0"/>
              <w:rPr>
                <w:sz w:val="20"/>
                <w:szCs w:val="20"/>
                <w:color w:val="auto"/>
              </w:rPr>
            </w:pPr>
            <w:r>
              <w:rPr>
                <w:rFonts w:ascii="Times New Roman" w:cs="Times New Roman" w:eastAsia="Times New Roman" w:hAnsi="Times New Roman"/>
                <w:sz w:val="14"/>
                <w:szCs w:val="14"/>
                <w:color w:val="0000EE"/>
              </w:rPr>
              <w:t>Statement of eligibility of Trustee on Form T-1 with respect to Shell Finance US Inc.</w:t>
            </w:r>
          </w:p>
        </w:tc>
      </w:tr>
      <w:tr>
        <w:trPr>
          <w:trHeight w:val="225"/>
        </w:trPr>
        <w:tc>
          <w:tcPr>
            <w:tcW w:w="660" w:type="dxa"/>
            <w:vAlign w:val="bottom"/>
          </w:tcPr>
          <w:p>
            <w:pPr>
              <w:jc w:val="center"/>
              <w:ind w:left="112"/>
              <w:spacing w:after="0"/>
              <w:rPr>
                <w:sz w:val="20"/>
                <w:szCs w:val="20"/>
                <w:color w:val="auto"/>
              </w:rPr>
            </w:pPr>
            <w:r>
              <w:rPr>
                <w:rFonts w:ascii="Times New Roman" w:cs="Times New Roman" w:eastAsia="Times New Roman" w:hAnsi="Times New Roman"/>
                <w:sz w:val="14"/>
                <w:szCs w:val="14"/>
                <w:color w:val="auto"/>
                <w:w w:val="97"/>
              </w:rPr>
              <w:t>99.1</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w w:val="96"/>
              </w:rPr>
              <w:t>Form of Letter to Clients.</w:t>
            </w:r>
          </w:p>
        </w:tc>
        <w:tc>
          <w:tcPr>
            <w:tcW w:w="3220" w:type="dxa"/>
            <w:vAlign w:val="bottom"/>
            <w:tcBorders>
              <w:top w:val="single" w:sz="8" w:color="0000EE"/>
            </w:tcBorders>
            <w:gridSpan w:val="7"/>
          </w:tcPr>
          <w:p>
            <w:pPr>
              <w:spacing w:after="0"/>
              <w:rPr>
                <w:sz w:val="19"/>
                <w:szCs w:val="19"/>
                <w:color w:val="auto"/>
              </w:rPr>
            </w:pPr>
          </w:p>
        </w:tc>
        <w:tc>
          <w:tcPr>
            <w:tcW w:w="2080" w:type="dxa"/>
            <w:vAlign w:val="bottom"/>
            <w:gridSpan w:val="16"/>
          </w:tcPr>
          <w:p>
            <w:pPr>
              <w:spacing w:after="0"/>
              <w:rPr>
                <w:sz w:val="19"/>
                <w:szCs w:val="19"/>
                <w:color w:val="auto"/>
              </w:rPr>
            </w:pPr>
          </w:p>
        </w:tc>
      </w:tr>
      <w:tr>
        <w:trPr>
          <w:trHeight w:val="225"/>
        </w:trPr>
        <w:tc>
          <w:tcPr>
            <w:tcW w:w="660" w:type="dxa"/>
            <w:vAlign w:val="bottom"/>
          </w:tcPr>
          <w:p>
            <w:pPr>
              <w:jc w:val="center"/>
              <w:ind w:left="112"/>
              <w:spacing w:after="0"/>
              <w:rPr>
                <w:sz w:val="20"/>
                <w:szCs w:val="20"/>
                <w:color w:val="auto"/>
              </w:rPr>
            </w:pPr>
            <w:r>
              <w:rPr>
                <w:rFonts w:ascii="Times New Roman" w:cs="Times New Roman" w:eastAsia="Times New Roman" w:hAnsi="Times New Roman"/>
                <w:sz w:val="14"/>
                <w:szCs w:val="14"/>
                <w:color w:val="auto"/>
                <w:w w:val="97"/>
              </w:rPr>
              <w:t>99.2</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4"/>
                <w:szCs w:val="14"/>
                <w:color w:val="0000EE"/>
                <w:w w:val="96"/>
              </w:rPr>
              <w:t>Form of Letter to Brokers, Dealers, Commercial Banks, Trust Companies and Other Nominees.</w:t>
            </w:r>
          </w:p>
        </w:tc>
        <w:tc>
          <w:tcPr>
            <w:tcW w:w="1500" w:type="dxa"/>
            <w:vAlign w:val="bottom"/>
            <w:gridSpan w:val="13"/>
          </w:tcPr>
          <w:p>
            <w:pPr>
              <w:spacing w:after="0"/>
              <w:rPr>
                <w:sz w:val="19"/>
                <w:szCs w:val="19"/>
                <w:color w:val="auto"/>
              </w:rPr>
            </w:pPr>
          </w:p>
        </w:tc>
      </w:tr>
      <w:tr>
        <w:trPr>
          <w:trHeight w:val="225"/>
        </w:trPr>
        <w:tc>
          <w:tcPr>
            <w:tcW w:w="660" w:type="dxa"/>
            <w:vAlign w:val="bottom"/>
          </w:tcPr>
          <w:p>
            <w:pPr>
              <w:jc w:val="center"/>
              <w:ind w:left="132"/>
              <w:spacing w:after="0"/>
              <w:rPr>
                <w:sz w:val="20"/>
                <w:szCs w:val="20"/>
                <w:color w:val="auto"/>
              </w:rPr>
            </w:pPr>
            <w:r>
              <w:rPr>
                <w:rFonts w:ascii="Times New Roman" w:cs="Times New Roman" w:eastAsia="Times New Roman" w:hAnsi="Times New Roman"/>
                <w:sz w:val="14"/>
                <w:szCs w:val="14"/>
                <w:color w:val="auto"/>
                <w:w w:val="95"/>
              </w:rPr>
              <w:t>107.1</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5"/>
              </w:rPr>
              <w:t>Filing Fee Table</w:t>
            </w:r>
          </w:p>
        </w:tc>
        <w:tc>
          <w:tcPr>
            <w:tcW w:w="5800" w:type="dxa"/>
            <w:vAlign w:val="bottom"/>
            <w:gridSpan w:val="25"/>
          </w:tcPr>
          <w:p>
            <w:pPr>
              <w:spacing w:after="0"/>
              <w:rPr>
                <w:sz w:val="19"/>
                <w:szCs w:val="19"/>
                <w:color w:val="auto"/>
              </w:rPr>
            </w:pPr>
          </w:p>
        </w:tc>
      </w:tr>
    </w:tbl>
    <w:p>
      <w:pPr>
        <w:sectPr>
          <w:pgSz w:w="11900" w:h="16838" w:orient="portrait"/>
          <w:cols w:equalWidth="0" w:num="1">
            <w:col w:w="10159"/>
          </w:cols>
          <w:pgMar w:left="300" w:top="378"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0" w:lineRule="exact"/>
        <w:rPr>
          <w:sz w:val="20"/>
          <w:szCs w:val="20"/>
          <w:color w:val="auto"/>
        </w:rPr>
      </w:pPr>
    </w:p>
    <w:p>
      <w:pPr>
        <w:ind w:left="1480" w:right="359"/>
        <w:spacing w:after="0" w:line="264" w:lineRule="auto"/>
        <w:rPr>
          <w:sz w:val="20"/>
          <w:szCs w:val="20"/>
          <w:color w:val="auto"/>
        </w:rPr>
      </w:pPr>
      <w:r>
        <w:rPr>
          <w:rFonts w:ascii="Times New Roman" w:cs="Times New Roman" w:eastAsia="Times New Roman" w:hAnsi="Times New Roman"/>
          <w:sz w:val="14"/>
          <w:szCs w:val="14"/>
          <w:color w:val="auto"/>
        </w:rPr>
        <w:t>Pursuant to the requirements of the Securities Act, the registrant has duly caused this registration statement to be signed on its behalf by the undersigned, thereunto duly authorized in London, England, on May 22, 2026.</w:t>
      </w:r>
    </w:p>
    <w:p>
      <w:pPr>
        <w:spacing w:after="0" w:line="15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color w:val="auto"/>
        </w:rPr>
        <w:t>SHELL PLC</w:t>
      </w:r>
    </w:p>
    <w:p>
      <w:pPr>
        <w:spacing w:after="0" w:line="84"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color w:val="auto"/>
        </w:rPr>
        <w:t>By: /s/ Sinead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9525</wp:posOffset>
            </wp:positionV>
            <wp:extent cx="193738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1937385" cy="635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color w:val="auto"/>
        </w:rPr>
        <w:t>Name: Sinead Gorman</w:t>
      </w:r>
    </w:p>
    <w:p>
      <w:pPr>
        <w:spacing w:after="0" w:line="1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154" w:lineRule="exact"/>
        <w:rPr>
          <w:sz w:val="20"/>
          <w:szCs w:val="20"/>
          <w:color w:val="auto"/>
        </w:rPr>
      </w:pPr>
    </w:p>
    <w:p>
      <w:pPr>
        <w:ind w:left="1480" w:right="719"/>
        <w:spacing w:after="0" w:line="264"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 indicated.</w:t>
      </w:r>
    </w:p>
    <w:p>
      <w:pPr>
        <w:sectPr>
          <w:pgSz w:w="11900" w:h="16838" w:orient="portrait"/>
          <w:cols w:equalWidth="0" w:num="1">
            <w:col w:w="10159"/>
          </w:cols>
          <w:pgMar w:left="300" w:top="378" w:right="1440" w:bottom="1440" w:gutter="0" w:footer="0" w:header="0"/>
        </w:sectPr>
      </w:pPr>
    </w:p>
    <w:p>
      <w:pPr>
        <w:spacing w:after="0" w:line="150"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1"/>
          <w:szCs w:val="11"/>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9525</wp:posOffset>
            </wp:positionV>
            <wp:extent cx="185293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1852930" cy="6350"/>
                    </a:xfrm>
                    <a:prstGeom prst="rect">
                      <a:avLst/>
                    </a:prstGeom>
                    <a:noFill/>
                  </pic:spPr>
                </pic:pic>
              </a:graphicData>
            </a:graphic>
          </wp:anchor>
        </w:drawing>
      </w:r>
    </w:p>
    <w:p>
      <w:pPr>
        <w:spacing w:after="0" w:line="3"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9525</wp:posOffset>
            </wp:positionV>
            <wp:extent cx="185293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1852930" cy="6350"/>
                    </a:xfrm>
                    <a:prstGeom prst="rect">
                      <a:avLst/>
                    </a:prstGeom>
                    <a:noFill/>
                  </pic:spPr>
                </pic:pic>
              </a:graphicData>
            </a:graphic>
          </wp:anchor>
        </w:drawing>
      </w:r>
    </w:p>
    <w:p>
      <w:pPr>
        <w:spacing w:after="0" w:line="3"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2"/>
          <w:szCs w:val="12"/>
          <w:color w:val="auto"/>
        </w:rPr>
        <w:t>Sir Andrew Mackenzie</w:t>
      </w:r>
    </w:p>
    <w:p>
      <w:pPr>
        <w:spacing w:after="0" w:line="127"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9525</wp:posOffset>
            </wp:positionV>
            <wp:extent cx="185293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1852930" cy="6350"/>
                    </a:xfrm>
                    <a:prstGeom prst="rect">
                      <a:avLst/>
                    </a:prstGeom>
                    <a:noFill/>
                  </pic:spPr>
                </pic:pic>
              </a:graphicData>
            </a:graphic>
          </wp:anchor>
        </w:drawing>
      </w:r>
    </w:p>
    <w:p>
      <w:pPr>
        <w:spacing w:after="0" w:line="3"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4"/>
          <w:szCs w:val="14"/>
          <w:color w:val="auto"/>
        </w:rPr>
        <w:t>Dick Boer</w:t>
      </w:r>
    </w:p>
    <w:p>
      <w:pPr>
        <w:spacing w:after="0" w:line="104"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9525</wp:posOffset>
            </wp:positionV>
            <wp:extent cx="185293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1852930" cy="6350"/>
                    </a:xfrm>
                    <a:prstGeom prst="rect">
                      <a:avLst/>
                    </a:prstGeom>
                    <a:noFill/>
                  </pic:spPr>
                </pic:pic>
              </a:graphicData>
            </a:graphic>
          </wp:anchor>
        </w:drawing>
      </w:r>
    </w:p>
    <w:p>
      <w:pPr>
        <w:spacing w:after="0" w:line="3"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4"/>
          <w:szCs w:val="14"/>
          <w:color w:val="auto"/>
        </w:rPr>
        <w:t>Wael Sawan</w:t>
      </w:r>
    </w:p>
    <w:p>
      <w:pPr>
        <w:spacing w:after="0" w:line="17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color w:val="auto"/>
        </w:rPr>
        <w:t>/s/ Sinead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9525</wp:posOffset>
            </wp:positionV>
            <wp:extent cx="185293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1852930" cy="6350"/>
                    </a:xfrm>
                    <a:prstGeom prst="rect">
                      <a:avLst/>
                    </a:prstGeom>
                    <a:noFill/>
                  </pic:spPr>
                </pic:pic>
              </a:graphicData>
            </a:graphic>
          </wp:anchor>
        </w:drawing>
      </w:r>
    </w:p>
    <w:p>
      <w:pPr>
        <w:spacing w:after="0" w:line="8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4"/>
          <w:szCs w:val="14"/>
          <w:color w:val="auto"/>
        </w:rPr>
        <w:t>Sinead Gorman</w:t>
      </w:r>
    </w:p>
    <w:p>
      <w:pPr>
        <w:spacing w:after="0" w:line="10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9525</wp:posOffset>
            </wp:positionV>
            <wp:extent cx="185293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1852930" cy="6350"/>
                    </a:xfrm>
                    <a:prstGeom prst="rect">
                      <a:avLst/>
                    </a:prstGeom>
                    <a:noFill/>
                  </pic:spPr>
                </pic:pic>
              </a:graphicData>
            </a:graphic>
          </wp:anchor>
        </w:drawing>
      </w:r>
    </w:p>
    <w:p>
      <w:pPr>
        <w:spacing w:after="0" w:line="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Ann Godbehere</w:t>
      </w:r>
    </w:p>
    <w:p>
      <w:pPr>
        <w:spacing w:after="0" w:line="10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9525</wp:posOffset>
            </wp:positionV>
            <wp:extent cx="185293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1852930" cy="6350"/>
                    </a:xfrm>
                    <a:prstGeom prst="rect">
                      <a:avLst/>
                    </a:prstGeom>
                    <a:noFill/>
                  </pic:spPr>
                </pic:pic>
              </a:graphicData>
            </a:graphic>
          </wp:anchor>
        </w:drawing>
      </w:r>
    </w:p>
    <w:p>
      <w:pPr>
        <w:spacing w:after="0" w:line="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Holly Keller Koeppel</w:t>
      </w:r>
    </w:p>
    <w:p>
      <w:pPr>
        <w:spacing w:after="0" w:line="10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9525</wp:posOffset>
            </wp:positionV>
            <wp:extent cx="185293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1852930" cy="6350"/>
                    </a:xfrm>
                    <a:prstGeom prst="rect">
                      <a:avLst/>
                    </a:prstGeom>
                    <a:noFill/>
                  </pic:spPr>
                </pic:pic>
              </a:graphicData>
            </a:graphic>
          </wp:anchor>
        </w:drawing>
      </w:r>
    </w:p>
    <w:p>
      <w:pPr>
        <w:spacing w:after="0" w:line="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Jane H. Lute</w:t>
      </w:r>
    </w:p>
    <w:p>
      <w:pPr>
        <w:spacing w:after="0" w:line="10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9525</wp:posOffset>
            </wp:positionV>
            <wp:extent cx="185293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1852930" cy="6350"/>
                    </a:xfrm>
                    <a:prstGeom prst="rect">
                      <a:avLst/>
                    </a:prstGeom>
                    <a:noFill/>
                  </pic:spPr>
                </pic:pic>
              </a:graphicData>
            </a:graphic>
          </wp:anchor>
        </w:drawing>
      </w:r>
    </w:p>
    <w:p>
      <w:pPr>
        <w:spacing w:after="0" w:line="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Sir Charles Roxburgh</w:t>
      </w:r>
    </w:p>
    <w:p>
      <w:pPr>
        <w:spacing w:after="0" w:line="10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9525</wp:posOffset>
            </wp:positionV>
            <wp:extent cx="185293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1852930" cy="6350"/>
                    </a:xfrm>
                    <a:prstGeom prst="rect">
                      <a:avLst/>
                    </a:prstGeom>
                    <a:noFill/>
                  </pic:spPr>
                </pic:pic>
              </a:graphicData>
            </a:graphic>
          </wp:anchor>
        </w:drawing>
      </w:r>
    </w:p>
    <w:p>
      <w:pPr>
        <w:spacing w:after="0" w:line="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color w:val="auto"/>
        </w:rPr>
        <w:t>Clare Scherrer</w:t>
      </w:r>
    </w:p>
    <w:p>
      <w:pPr>
        <w:spacing w:after="0" w:line="10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9525</wp:posOffset>
            </wp:positionV>
            <wp:extent cx="185293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1852930" cy="6350"/>
                    </a:xfrm>
                    <a:prstGeom prst="rect">
                      <a:avLst/>
                    </a:prstGeom>
                    <a:noFill/>
                  </pic:spPr>
                </pic:pic>
              </a:graphicData>
            </a:graphic>
          </wp:anchor>
        </w:drawing>
      </w:r>
    </w:p>
    <w:p>
      <w:pPr>
        <w:spacing w:after="0" w:line="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4"/>
          <w:szCs w:val="14"/>
          <w:color w:val="auto"/>
        </w:rPr>
        <w:t>Abraham Schot</w:t>
      </w:r>
    </w:p>
    <w:p>
      <w:pPr>
        <w:spacing w:after="0" w:line="10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9525</wp:posOffset>
            </wp:positionV>
            <wp:extent cx="185293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1852930" cy="6350"/>
                    </a:xfrm>
                    <a:prstGeom prst="rect">
                      <a:avLst/>
                    </a:prstGeom>
                    <a:noFill/>
                  </pic:spPr>
                </pic:pic>
              </a:graphicData>
            </a:graphic>
          </wp:anchor>
        </w:drawing>
      </w:r>
    </w:p>
    <w:p>
      <w:pPr>
        <w:spacing w:after="0" w:line="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color w:val="auto"/>
        </w:rPr>
        <w:t>Leena Srivastava</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1"/>
          <w:szCs w:val="11"/>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9525</wp:posOffset>
            </wp:positionV>
            <wp:extent cx="169100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1691005" cy="6350"/>
                    </a:xfrm>
                    <a:prstGeom prst="rect">
                      <a:avLst/>
                    </a:prstGeom>
                    <a:noFill/>
                  </pic:spPr>
                </pic:pic>
              </a:graphicData>
            </a:graphic>
          </wp:anchor>
        </w:drawing>
      </w:r>
    </w:p>
    <w:p>
      <w:pPr>
        <w:spacing w:after="0" w:line="95"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color w:val="auto"/>
        </w:rPr>
        <w:t>Chair</w:t>
      </w:r>
    </w:p>
    <w:p>
      <w:pPr>
        <w:spacing w:after="0" w:line="20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2"/>
          <w:szCs w:val="12"/>
          <w:color w:val="auto"/>
        </w:rPr>
        <w:t>Deputy Chair and Senior Independent</w:t>
      </w:r>
    </w:p>
    <w:p>
      <w:pPr>
        <w:spacing w:after="0" w:line="3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color w:val="auto"/>
        </w:rPr>
        <w:t>Non-executive Director</w:t>
      </w:r>
    </w:p>
    <w:p>
      <w:pPr>
        <w:spacing w:after="0" w:line="10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1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2"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color w:val="auto"/>
        </w:rPr>
        <w:t>Principal Accounting Officer)</w:t>
      </w:r>
    </w:p>
    <w:p>
      <w:pPr>
        <w:spacing w:after="0" w:line="19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color w:val="auto"/>
        </w:rPr>
        <w:t>Non-executive Director</w:t>
      </w:r>
    </w:p>
    <w:p>
      <w:pPr>
        <w:spacing w:after="0" w:line="28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color w:val="auto"/>
        </w:rPr>
        <w:t>Non-executive Director</w:t>
      </w:r>
    </w:p>
    <w:p>
      <w:pPr>
        <w:spacing w:after="0" w:line="28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color w:val="auto"/>
        </w:rPr>
        <w:t>Non-executive Director</w:t>
      </w:r>
    </w:p>
    <w:p>
      <w:pPr>
        <w:spacing w:after="0" w:line="28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color w:val="auto"/>
        </w:rPr>
        <w:t>Non-executive Director</w:t>
      </w:r>
    </w:p>
    <w:p>
      <w:pPr>
        <w:spacing w:after="0" w:line="28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color w:val="auto"/>
        </w:rPr>
        <w:t>Non-executive Director</w:t>
      </w:r>
    </w:p>
    <w:p>
      <w:pPr>
        <w:spacing w:after="0" w:line="28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color w:val="auto"/>
        </w:rPr>
        <w:t>Non-executive Director</w:t>
      </w:r>
    </w:p>
    <w:p>
      <w:pPr>
        <w:spacing w:after="0" w:line="28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color w:val="auto"/>
        </w:rPr>
        <w:t>Non-executive Director</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1179"/>
        <w:spacing w:after="0"/>
        <w:rPr>
          <w:sz w:val="20"/>
          <w:szCs w:val="20"/>
          <w:color w:val="auto"/>
        </w:rPr>
      </w:pPr>
      <w:r>
        <w:rPr>
          <w:rFonts w:ascii="Times New Roman" w:cs="Times New Roman" w:eastAsia="Times New Roman" w:hAnsi="Times New Roman"/>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9525</wp:posOffset>
            </wp:positionV>
            <wp:extent cx="152908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15290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79"/>
        <w:spacing w:after="0"/>
        <w:rPr>
          <w:sz w:val="20"/>
          <w:szCs w:val="20"/>
          <w:color w:val="auto"/>
        </w:rPr>
      </w:pPr>
      <w:r>
        <w:rPr>
          <w:rFonts w:ascii="Times New Roman" w:cs="Times New Roman" w:eastAsia="Times New Roman" w:hAnsi="Times New Roman"/>
          <w:sz w:val="12"/>
          <w:szCs w:val="12"/>
          <w:color w:val="auto"/>
        </w:rPr>
        <w:t>May 22, 2026</w:t>
      </w:r>
    </w:p>
    <w:p>
      <w:pPr>
        <w:sectPr>
          <w:pgSz w:w="11900" w:h="16838" w:orient="portrait"/>
          <w:cols w:equalWidth="0" w:num="3">
            <w:col w:w="4160" w:space="720"/>
            <w:col w:w="2620" w:space="720"/>
            <w:col w:w="1939"/>
          </w:cols>
          <w:pgMar w:left="300" w:top="378" w:right="1440"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5" w:lineRule="exact"/>
        <w:rPr>
          <w:sz w:val="20"/>
          <w:szCs w:val="20"/>
          <w:color w:val="auto"/>
        </w:rPr>
      </w:pPr>
    </w:p>
    <w:tbl>
      <w:tblPr>
        <w:tblLayout w:type="fixed"/>
        <w:tblInd w:w="1480" w:type="dxa"/>
        <w:tblCellMar>
          <w:top w:w="0" w:type="dxa"/>
          <w:left w:w="0" w:type="dxa"/>
          <w:bottom w:w="0" w:type="dxa"/>
          <w:right w:w="0" w:type="dxa"/>
        </w:tblCellMar>
      </w:tblPr>
      <w:tr>
        <w:trPr>
          <w:trHeight w:val="142"/>
        </w:trPr>
        <w:tc>
          <w:tcPr>
            <w:tcW w:w="40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jc w:val="center"/>
              <w:ind w:right="337"/>
              <w:spacing w:after="0"/>
              <w:rPr>
                <w:sz w:val="20"/>
                <w:szCs w:val="20"/>
                <w:color w:val="auto"/>
              </w:rPr>
            </w:pPr>
            <w:r>
              <w:rPr>
                <w:rFonts w:ascii="Times New Roman" w:cs="Times New Roman" w:eastAsia="Times New Roman" w:hAnsi="Times New Roman"/>
                <w:sz w:val="11"/>
                <w:szCs w:val="11"/>
                <w:b w:val="1"/>
                <w:bCs w:val="1"/>
                <w:color w:val="auto"/>
              </w:rPr>
              <w:t>Name</w:t>
            </w:r>
          </w:p>
        </w:tc>
        <w:tc>
          <w:tcPr>
            <w:tcW w:w="1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center"/>
              <w:ind w:right="659"/>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60" w:type="dxa"/>
            <w:vAlign w:val="bottom"/>
          </w:tcPr>
          <w:p>
            <w:pPr>
              <w:spacing w:after="0"/>
              <w:rPr>
                <w:sz w:val="12"/>
                <w:szCs w:val="12"/>
                <w:color w:val="auto"/>
              </w:rPr>
            </w:pPr>
          </w:p>
        </w:tc>
        <w:tc>
          <w:tcPr>
            <w:tcW w:w="24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1"/>
                <w:szCs w:val="11"/>
                <w:b w:val="1"/>
                <w:bCs w:val="1"/>
                <w:color w:val="auto"/>
              </w:rPr>
              <w:t>Date</w:t>
            </w:r>
          </w:p>
        </w:tc>
        <w:tc>
          <w:tcPr>
            <w:tcW w:w="0" w:type="dxa"/>
            <w:vAlign w:val="bottom"/>
          </w:tcPr>
          <w:p>
            <w:pPr>
              <w:spacing w:after="0"/>
              <w:rPr>
                <w:sz w:val="1"/>
                <w:szCs w:val="1"/>
                <w:color w:val="auto"/>
              </w:rPr>
            </w:pPr>
          </w:p>
        </w:tc>
      </w:tr>
      <w:tr>
        <w:trPr>
          <w:trHeight w:val="244"/>
        </w:trPr>
        <w:tc>
          <w:tcPr>
            <w:tcW w:w="2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28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w w:val="96"/>
              </w:rPr>
              <w:t>Non-executive Director</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400" w:type="dxa"/>
            <w:vAlign w:val="bottom"/>
          </w:tcPr>
          <w:p>
            <w:pPr>
              <w:spacing w:after="0"/>
              <w:rPr>
                <w:sz w:val="6"/>
                <w:szCs w:val="6"/>
                <w:color w:val="auto"/>
              </w:rPr>
            </w:pPr>
          </w:p>
        </w:tc>
        <w:tc>
          <w:tcPr>
            <w:tcW w:w="2520" w:type="dxa"/>
            <w:vAlign w:val="bottom"/>
            <w:vMerge w:val="restart"/>
          </w:tcPr>
          <w:p>
            <w:pPr>
              <w:jc w:val="center"/>
              <w:ind w:right="337"/>
              <w:spacing w:after="0"/>
              <w:rPr>
                <w:sz w:val="20"/>
                <w:szCs w:val="20"/>
                <w:color w:val="auto"/>
              </w:rPr>
            </w:pPr>
            <w:r>
              <w:rPr>
                <w:rFonts w:ascii="Times New Roman" w:cs="Times New Roman" w:eastAsia="Times New Roman" w:hAnsi="Times New Roman"/>
                <w:sz w:val="14"/>
                <w:szCs w:val="14"/>
                <w:color w:val="auto"/>
                <w:w w:val="97"/>
              </w:rPr>
              <w:t>Cyrus Taraporevala</w:t>
            </w:r>
          </w:p>
        </w:tc>
        <w:tc>
          <w:tcPr>
            <w:tcW w:w="180" w:type="dxa"/>
            <w:vAlign w:val="bottom"/>
          </w:tcPr>
          <w:p>
            <w:pPr>
              <w:spacing w:after="0"/>
              <w:rPr>
                <w:sz w:val="6"/>
                <w:szCs w:val="6"/>
                <w:color w:val="auto"/>
              </w:rPr>
            </w:pPr>
          </w:p>
        </w:tc>
        <w:tc>
          <w:tcPr>
            <w:tcW w:w="2820" w:type="dxa"/>
            <w:vAlign w:val="bottom"/>
            <w:gridSpan w:val="3"/>
            <w:vMerge w:val="continue"/>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400" w:type="dxa"/>
            <w:vAlign w:val="bottom"/>
          </w:tcPr>
          <w:p>
            <w:pPr>
              <w:spacing w:after="0"/>
              <w:rPr>
                <w:sz w:val="8"/>
                <w:szCs w:val="8"/>
                <w:color w:val="auto"/>
              </w:rPr>
            </w:pPr>
          </w:p>
        </w:tc>
        <w:tc>
          <w:tcPr>
            <w:tcW w:w="25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By:   /s/ Sinead Gorman</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 xml:space="preserve">    </w:t>
            </w:r>
          </w:p>
        </w:tc>
        <w:tc>
          <w:tcPr>
            <w:tcW w:w="24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May 22, 2026</w:t>
            </w: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2520" w:type="dxa"/>
            <w:vAlign w:val="bottom"/>
            <w:tcBorders>
              <w:top w:val="single" w:sz="8" w:color="auto"/>
            </w:tcBorders>
          </w:tcPr>
          <w:p>
            <w:pPr>
              <w:jc w:val="center"/>
              <w:ind w:right="337"/>
              <w:spacing w:after="0"/>
              <w:rPr>
                <w:sz w:val="20"/>
                <w:szCs w:val="20"/>
                <w:color w:val="auto"/>
              </w:rPr>
            </w:pPr>
            <w:r>
              <w:rPr>
                <w:rFonts w:ascii="Times New Roman" w:cs="Times New Roman" w:eastAsia="Times New Roman" w:hAnsi="Times New Roman"/>
                <w:sz w:val="14"/>
                <w:szCs w:val="14"/>
                <w:color w:val="auto"/>
                <w:w w:val="96"/>
              </w:rPr>
              <w:t>(Sinead Gorman, Attorney-in-Fact)</w:t>
            </w: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78"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459"/>
        <w:spacing w:after="0" w:line="264" w:lineRule="auto"/>
        <w:rPr>
          <w:sz w:val="20"/>
          <w:szCs w:val="20"/>
          <w:color w:val="auto"/>
        </w:rPr>
      </w:pPr>
      <w:r>
        <w:rPr>
          <w:rFonts w:ascii="Times New Roman" w:cs="Times New Roman" w:eastAsia="Times New Roman" w:hAnsi="Times New Roman"/>
          <w:sz w:val="14"/>
          <w:szCs w:val="14"/>
          <w:color w:val="auto"/>
        </w:rPr>
        <w:t>Pursuant to the requirements of the Section 6(a) of the Securities Act of 1933, as amended, the undersigned has signed this registration statement in the capacity of the duly authorized representative of Shell plc in the U.S. in Delaware on May 22, 2026.</w:t>
      </w:r>
    </w:p>
    <w:p>
      <w:pPr>
        <w:spacing w:after="0" w:line="15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color w:val="auto"/>
        </w:rPr>
        <w:t>PUGLISI &amp; ASSOCIATES</w:t>
      </w:r>
    </w:p>
    <w:p>
      <w:pPr>
        <w:spacing w:after="0" w:line="84" w:lineRule="exact"/>
        <w:rPr>
          <w:sz w:val="20"/>
          <w:szCs w:val="20"/>
          <w:color w:val="auto"/>
        </w:rPr>
      </w:pPr>
    </w:p>
    <w:p>
      <w:pPr>
        <w:ind w:left="6480"/>
        <w:spacing w:after="0"/>
        <w:tabs>
          <w:tab w:leader="none" w:pos="6860" w:val="left"/>
        </w:tabs>
        <w:rPr>
          <w:sz w:val="20"/>
          <w:szCs w:val="20"/>
          <w:color w:val="auto"/>
        </w:rPr>
      </w:pPr>
      <w:r>
        <w:rPr>
          <w:rFonts w:ascii="Times New Roman" w:cs="Times New Roman" w:eastAsia="Times New Roman" w:hAnsi="Times New Roman"/>
          <w:sz w:val="14"/>
          <w:szCs w:val="14"/>
          <w:color w:val="auto"/>
        </w:rPr>
        <w:t>By:</w:t>
        <w:tab/>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4374515</wp:posOffset>
            </wp:positionH>
            <wp:positionV relativeFrom="paragraph">
              <wp:posOffset>9525</wp:posOffset>
            </wp:positionV>
            <wp:extent cx="185293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1852930" cy="6350"/>
                    </a:xfrm>
                    <a:prstGeom prst="rect">
                      <a:avLst/>
                    </a:prstGeom>
                    <a:noFill/>
                  </pic:spPr>
                </pic:pic>
              </a:graphicData>
            </a:graphic>
          </wp:anchor>
        </w:drawing>
      </w:r>
    </w:p>
    <w:p>
      <w:pPr>
        <w:spacing w:after="0" w:line="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color w:val="auto"/>
        </w:rPr>
        <w:t>Name:  Donald J. Puglisi</w:t>
      </w:r>
    </w:p>
    <w:p>
      <w:pPr>
        <w:spacing w:after="0" w:line="1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color w:val="auto"/>
        </w:rPr>
        <w:t>Title:   Managing Director</w:t>
      </w:r>
    </w:p>
    <w:p>
      <w:pPr>
        <w:sectPr>
          <w:pgSz w:w="11900" w:h="16838" w:orient="portrait"/>
          <w:cols w:equalWidth="0" w:num="1">
            <w:col w:w="10159"/>
          </w:cols>
          <w:pgMar w:left="300" w:top="378"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0" w:lineRule="exact"/>
        <w:rPr>
          <w:sz w:val="20"/>
          <w:szCs w:val="20"/>
          <w:color w:val="auto"/>
        </w:rPr>
      </w:pPr>
    </w:p>
    <w:p>
      <w:pPr>
        <w:ind w:left="1480" w:right="359"/>
        <w:spacing w:after="0" w:line="264" w:lineRule="auto"/>
        <w:rPr>
          <w:sz w:val="20"/>
          <w:szCs w:val="20"/>
          <w:color w:val="auto"/>
        </w:rPr>
      </w:pPr>
      <w:r>
        <w:rPr>
          <w:rFonts w:ascii="Times New Roman" w:cs="Times New Roman" w:eastAsia="Times New Roman" w:hAnsi="Times New Roman"/>
          <w:sz w:val="14"/>
          <w:szCs w:val="14"/>
          <w:color w:val="auto"/>
        </w:rPr>
        <w:t>Pursuant to the requirements of the Securities Act, the registrant has duly caused this registration statement to be signed on its behalf by the undersigned, thereunto duly authorized in Houston, Texas, on May 22, 2026.</w:t>
      </w:r>
    </w:p>
    <w:p>
      <w:pPr>
        <w:spacing w:after="0" w:line="15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color w:val="auto"/>
        </w:rPr>
        <w:t>SHELL FINANCE US INC.</w:t>
      </w:r>
    </w:p>
    <w:p>
      <w:pPr>
        <w:spacing w:after="0" w:line="84" w:lineRule="exact"/>
        <w:rPr>
          <w:sz w:val="20"/>
          <w:szCs w:val="20"/>
          <w:color w:val="auto"/>
        </w:rPr>
      </w:pPr>
    </w:p>
    <w:p>
      <w:pPr>
        <w:ind w:left="6480"/>
        <w:spacing w:after="0"/>
        <w:tabs>
          <w:tab w:leader="none" w:pos="6860" w:val="left"/>
        </w:tabs>
        <w:rPr>
          <w:sz w:val="20"/>
          <w:szCs w:val="20"/>
          <w:color w:val="auto"/>
        </w:rPr>
      </w:pPr>
      <w:r>
        <w:rPr>
          <w:rFonts w:ascii="Times New Roman" w:cs="Times New Roman" w:eastAsia="Times New Roman" w:hAnsi="Times New Roman"/>
          <w:sz w:val="14"/>
          <w:szCs w:val="14"/>
          <w:color w:val="auto"/>
        </w:rPr>
        <w:t>By:</w:t>
        <w:tab/>
        <w:t>/s/ Olga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4374515</wp:posOffset>
            </wp:positionH>
            <wp:positionV relativeFrom="paragraph">
              <wp:posOffset>9525</wp:posOffset>
            </wp:positionV>
            <wp:extent cx="185293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1852930" cy="6350"/>
                    </a:xfrm>
                    <a:prstGeom prst="rect">
                      <a:avLst/>
                    </a:prstGeom>
                    <a:noFill/>
                  </pic:spPr>
                </pic:pic>
              </a:graphicData>
            </a:graphic>
          </wp:anchor>
        </w:drawing>
      </w:r>
    </w:p>
    <w:p>
      <w:pPr>
        <w:spacing w:after="0" w:line="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color w:val="auto"/>
        </w:rPr>
        <w:t>Name:  Olga A. Stevens</w:t>
      </w:r>
    </w:p>
    <w:p>
      <w:pPr>
        <w:spacing w:after="0" w:line="1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color w:val="auto"/>
        </w:rPr>
        <w:t>Title:   Director and Vice President - Finance</w:t>
      </w:r>
    </w:p>
    <w:p>
      <w:pPr>
        <w:spacing w:after="0" w:line="154" w:lineRule="exact"/>
        <w:rPr>
          <w:sz w:val="20"/>
          <w:szCs w:val="20"/>
          <w:color w:val="auto"/>
        </w:rPr>
      </w:pPr>
    </w:p>
    <w:p>
      <w:pPr>
        <w:ind w:left="1480" w:right="719"/>
        <w:spacing w:after="0" w:line="264"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dates indicated.</w:t>
      </w:r>
    </w:p>
    <w:p>
      <w:pPr>
        <w:spacing w:after="0" w:line="150" w:lineRule="exact"/>
        <w:rPr>
          <w:sz w:val="20"/>
          <w:szCs w:val="20"/>
          <w:color w:val="auto"/>
        </w:rPr>
      </w:pPr>
    </w:p>
    <w:tbl>
      <w:tblPr>
        <w:tblLayout w:type="fixed"/>
        <w:tblInd w:w="1480" w:type="dxa"/>
        <w:tblCellMar>
          <w:top w:w="0" w:type="dxa"/>
          <w:left w:w="0" w:type="dxa"/>
          <w:bottom w:w="0" w:type="dxa"/>
          <w:right w:w="0" w:type="dxa"/>
        </w:tblCellMar>
      </w:tblPr>
      <w:tr>
        <w:trPr>
          <w:trHeight w:val="142"/>
        </w:trPr>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80" w:type="dxa"/>
            <w:vAlign w:val="bottom"/>
          </w:tcPr>
          <w:p>
            <w:pPr>
              <w:spacing w:after="0"/>
              <w:rPr>
                <w:sz w:val="12"/>
                <w:szCs w:val="12"/>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60" w:type="dxa"/>
            <w:vAlign w:val="bottom"/>
          </w:tcPr>
          <w:p>
            <w:pPr>
              <w:spacing w:after="0"/>
              <w:rPr>
                <w:sz w:val="12"/>
                <w:szCs w:val="12"/>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225"/>
        </w:trPr>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Mitchell B. Ice</w:t>
            </w:r>
          </w:p>
        </w:tc>
        <w:tc>
          <w:tcPr>
            <w:tcW w:w="180" w:type="dxa"/>
            <w:vAlign w:val="bottom"/>
          </w:tcPr>
          <w:p>
            <w:pPr>
              <w:spacing w:after="0"/>
              <w:rPr>
                <w:sz w:val="19"/>
                <w:szCs w:val="19"/>
                <w:color w:val="auto"/>
              </w:rPr>
            </w:pPr>
          </w:p>
        </w:tc>
        <w:tc>
          <w:tcPr>
            <w:tcW w:w="2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6"/>
              </w:rPr>
              <w:t>Director and President (Principal Executive</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May 22, 2026</w:t>
            </w:r>
          </w:p>
        </w:tc>
        <w:tc>
          <w:tcPr>
            <w:tcW w:w="0" w:type="dxa"/>
            <w:vAlign w:val="bottom"/>
          </w:tcPr>
          <w:p>
            <w:pPr>
              <w:spacing w:after="0"/>
              <w:rPr>
                <w:sz w:val="1"/>
                <w:szCs w:val="1"/>
                <w:color w:val="auto"/>
              </w:rPr>
            </w:pPr>
          </w:p>
        </w:tc>
      </w:tr>
      <w:tr>
        <w:trPr>
          <w:trHeight w:val="71"/>
        </w:trPr>
        <w:tc>
          <w:tcPr>
            <w:tcW w:w="2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Mitchell B. Ice</w:t>
            </w:r>
          </w:p>
        </w:tc>
        <w:tc>
          <w:tcPr>
            <w:tcW w:w="180" w:type="dxa"/>
            <w:vAlign w:val="bottom"/>
          </w:tcPr>
          <w:p>
            <w:pPr>
              <w:spacing w:after="0"/>
              <w:rPr>
                <w:sz w:val="6"/>
                <w:szCs w:val="6"/>
                <w:color w:val="auto"/>
              </w:rPr>
            </w:pPr>
          </w:p>
        </w:tc>
        <w:tc>
          <w:tcPr>
            <w:tcW w:w="2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w w:val="97"/>
              </w:rPr>
              <w:t>Officer)</w:t>
            </w:r>
          </w:p>
        </w:tc>
        <w:tc>
          <w:tcPr>
            <w:tcW w:w="2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9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820" w:type="dxa"/>
            <w:vAlign w:val="bottom"/>
            <w:gridSpan w:val="2"/>
            <w:vMerge w:val="continue"/>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John S. Misso</w:t>
            </w:r>
          </w:p>
        </w:tc>
        <w:tc>
          <w:tcPr>
            <w:tcW w:w="180" w:type="dxa"/>
            <w:vAlign w:val="bottom"/>
          </w:tcPr>
          <w:p>
            <w:pPr>
              <w:spacing w:after="0"/>
              <w:rPr>
                <w:sz w:val="21"/>
                <w:szCs w:val="21"/>
                <w:color w:val="auto"/>
              </w:rPr>
            </w:pPr>
          </w:p>
        </w:tc>
        <w:tc>
          <w:tcPr>
            <w:tcW w:w="2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w w:val="98"/>
              </w:rPr>
              <w:t>Director</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May 22, 2026</w:t>
            </w:r>
          </w:p>
        </w:tc>
        <w:tc>
          <w:tcPr>
            <w:tcW w:w="0" w:type="dxa"/>
            <w:vAlign w:val="bottom"/>
          </w:tcPr>
          <w:p>
            <w:pPr>
              <w:spacing w:after="0"/>
              <w:rPr>
                <w:sz w:val="1"/>
                <w:szCs w:val="1"/>
                <w:color w:val="auto"/>
              </w:rPr>
            </w:pPr>
          </w:p>
        </w:tc>
      </w:tr>
      <w:tr>
        <w:trPr>
          <w:trHeight w:val="72"/>
        </w:trPr>
        <w:tc>
          <w:tcPr>
            <w:tcW w:w="2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John S. Misso</w:t>
            </w:r>
          </w:p>
        </w:tc>
        <w:tc>
          <w:tcPr>
            <w:tcW w:w="1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2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9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Olga A. Stevens</w:t>
            </w:r>
          </w:p>
        </w:tc>
        <w:tc>
          <w:tcPr>
            <w:tcW w:w="180" w:type="dxa"/>
            <w:vAlign w:val="bottom"/>
          </w:tcPr>
          <w:p>
            <w:pPr>
              <w:spacing w:after="0"/>
              <w:rPr>
                <w:sz w:val="21"/>
                <w:szCs w:val="21"/>
                <w:color w:val="auto"/>
              </w:rPr>
            </w:pPr>
          </w:p>
        </w:tc>
        <w:tc>
          <w:tcPr>
            <w:tcW w:w="2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6"/>
              </w:rPr>
              <w:t>Director and Vice President - Finance (Principal</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May 22, 2026</w:t>
            </w:r>
          </w:p>
        </w:tc>
        <w:tc>
          <w:tcPr>
            <w:tcW w:w="0" w:type="dxa"/>
            <w:vAlign w:val="bottom"/>
          </w:tcPr>
          <w:p>
            <w:pPr>
              <w:spacing w:after="0"/>
              <w:rPr>
                <w:sz w:val="1"/>
                <w:szCs w:val="1"/>
                <w:color w:val="auto"/>
              </w:rPr>
            </w:pPr>
          </w:p>
        </w:tc>
      </w:tr>
      <w:tr>
        <w:trPr>
          <w:trHeight w:val="71"/>
        </w:trPr>
        <w:tc>
          <w:tcPr>
            <w:tcW w:w="2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Olga A. Stevens</w:t>
            </w:r>
          </w:p>
        </w:tc>
        <w:tc>
          <w:tcPr>
            <w:tcW w:w="180" w:type="dxa"/>
            <w:vAlign w:val="bottom"/>
          </w:tcPr>
          <w:p>
            <w:pPr>
              <w:spacing w:after="0"/>
              <w:rPr>
                <w:sz w:val="6"/>
                <w:szCs w:val="6"/>
                <w:color w:val="auto"/>
              </w:rPr>
            </w:pPr>
          </w:p>
        </w:tc>
        <w:tc>
          <w:tcPr>
            <w:tcW w:w="2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w w:val="96"/>
              </w:rPr>
              <w:t>Financial Officer, Principal Accounting Officer)</w:t>
            </w:r>
          </w:p>
        </w:tc>
        <w:tc>
          <w:tcPr>
            <w:tcW w:w="2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9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820" w:type="dxa"/>
            <w:vAlign w:val="bottom"/>
            <w:gridSpan w:val="2"/>
            <w:vMerge w:val="continue"/>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78" w:right="1440" w:bottom="1440" w:gutter="0" w:footer="0" w:header="0"/>
        </w:sectPr>
      </w:pPr>
    </w:p>
    <w:bookmarkStart w:id="67" w:name="page68"/>
    <w:bookmarkEnd w:id="67"/>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Exhibit 4.2</w:t>
      </w:r>
    </w:p>
    <w:p>
      <w:pPr>
        <w:spacing w:after="0" w:line="166"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6"/>
          <w:szCs w:val="16"/>
          <w:color w:val="auto"/>
        </w:rPr>
        <w:t>EXECUTION VERSION</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REGISTRATION RIGHTS AGREEMENT</w:t>
      </w:r>
    </w:p>
    <w:p>
      <w:pPr>
        <w:spacing w:after="0" w:line="163" w:lineRule="exact"/>
        <w:rPr>
          <w:sz w:val="20"/>
          <w:szCs w:val="20"/>
          <w:color w:val="auto"/>
        </w:rPr>
      </w:pPr>
    </w:p>
    <w:p>
      <w:pPr>
        <w:ind w:left="340" w:right="359" w:firstLine="916"/>
        <w:spacing w:after="0" w:line="243" w:lineRule="auto"/>
        <w:rPr>
          <w:sz w:val="20"/>
          <w:szCs w:val="20"/>
          <w:color w:val="auto"/>
        </w:rPr>
      </w:pPr>
      <w:r>
        <w:rPr>
          <w:rFonts w:ascii="Times New Roman" w:cs="Times New Roman" w:eastAsia="Times New Roman" w:hAnsi="Times New Roman"/>
          <w:sz w:val="16"/>
          <w:szCs w:val="16"/>
          <w:color w:val="auto"/>
        </w:rPr>
        <w:t>This REGISTRATION RIGHTS AGREEMENT, dated December 8, 2025 (this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is entered into by and among Shell Finance US Inc., a Delaware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Shell plc, a public limited company incorporated under the laws of England and Wales (the “</w:t>
      </w:r>
      <w:r>
        <w:rPr>
          <w:rFonts w:ascii="Times New Roman" w:cs="Times New Roman" w:eastAsia="Times New Roman" w:hAnsi="Times New Roman"/>
          <w:sz w:val="16"/>
          <w:szCs w:val="16"/>
          <w:b w:val="1"/>
          <w:bCs w:val="1"/>
          <w:color w:val="auto"/>
        </w:rPr>
        <w:t>Guarantor</w:t>
      </w:r>
      <w:r>
        <w:rPr>
          <w:rFonts w:ascii="Times New Roman" w:cs="Times New Roman" w:eastAsia="Times New Roman" w:hAnsi="Times New Roman"/>
          <w:sz w:val="16"/>
          <w:szCs w:val="16"/>
          <w:color w:val="auto"/>
        </w:rPr>
        <w:t>” and, together with the Company, the “</w:t>
      </w:r>
      <w:r>
        <w:rPr>
          <w:rFonts w:ascii="Times New Roman" w:cs="Times New Roman" w:eastAsia="Times New Roman" w:hAnsi="Times New Roman"/>
          <w:sz w:val="16"/>
          <w:szCs w:val="16"/>
          <w:b w:val="1"/>
          <w:bCs w:val="1"/>
          <w:color w:val="auto"/>
        </w:rPr>
        <w:t>Company Parties</w:t>
      </w:r>
      <w:r>
        <w:rPr>
          <w:rFonts w:ascii="Times New Roman" w:cs="Times New Roman" w:eastAsia="Times New Roman" w:hAnsi="Times New Roman"/>
          <w:sz w:val="16"/>
          <w:szCs w:val="16"/>
          <w:color w:val="auto"/>
        </w:rPr>
        <w:t>”), and BofA Securities, Inc., Deutsche Bank Securities Inc. and TD Securities (USA) LLC, as dealer managers (collectively, the “</w:t>
      </w:r>
      <w:r>
        <w:rPr>
          <w:rFonts w:ascii="Times New Roman" w:cs="Times New Roman" w:eastAsia="Times New Roman" w:hAnsi="Times New Roman"/>
          <w:sz w:val="16"/>
          <w:szCs w:val="16"/>
          <w:b w:val="1"/>
          <w:bCs w:val="1"/>
          <w:color w:val="auto"/>
        </w:rPr>
        <w:t>Dealer Managers</w:t>
      </w:r>
      <w:r>
        <w:rPr>
          <w:rFonts w:ascii="Times New Roman" w:cs="Times New Roman" w:eastAsia="Times New Roman" w:hAnsi="Times New Roman"/>
          <w:sz w:val="16"/>
          <w:szCs w:val="16"/>
          <w:color w:val="auto"/>
        </w:rPr>
        <w:t>”), in connection with the offers by the Company and the Guarantor to exchange notes issued by Shell International Finance B.V. and BG Energy Capital plc (such notes, the “</w:t>
      </w:r>
      <w:r>
        <w:rPr>
          <w:rFonts w:ascii="Times New Roman" w:cs="Times New Roman" w:eastAsia="Times New Roman" w:hAnsi="Times New Roman"/>
          <w:sz w:val="16"/>
          <w:szCs w:val="16"/>
          <w:b w:val="1"/>
          <w:bCs w:val="1"/>
          <w:color w:val="auto"/>
        </w:rPr>
        <w:t>Old Notes</w:t>
      </w:r>
      <w:r>
        <w:rPr>
          <w:rFonts w:ascii="Times New Roman" w:cs="Times New Roman" w:eastAsia="Times New Roman" w:hAnsi="Times New Roman"/>
          <w:sz w:val="16"/>
          <w:szCs w:val="16"/>
          <w:color w:val="auto"/>
        </w:rPr>
        <w:t>”), for new notes of the Company (fully and unconditionally guaranteed by the Guarantor) listed on Schedule A (the “</w:t>
      </w:r>
      <w:r>
        <w:rPr>
          <w:rFonts w:ascii="Times New Roman" w:cs="Times New Roman" w:eastAsia="Times New Roman" w:hAnsi="Times New Roman"/>
          <w:sz w:val="16"/>
          <w:szCs w:val="16"/>
          <w:b w:val="1"/>
          <w:bCs w:val="1"/>
          <w:color w:val="auto"/>
        </w:rPr>
        <w:t>Notes</w:t>
      </w:r>
      <w:r>
        <w:rPr>
          <w:rFonts w:ascii="Times New Roman" w:cs="Times New Roman" w:eastAsia="Times New Roman" w:hAnsi="Times New Roman"/>
          <w:sz w:val="16"/>
          <w:szCs w:val="16"/>
          <w:color w:val="auto"/>
        </w:rPr>
        <w:t>”), on the terms and subject to the conditions set forth in the Offering Memorandum, dated November 3, 2025. The Company Parties have agreed to provide to the Holders (as defined below) of the Notes the registration rights set forth in this Agreement. The execution and delivery of this Agreement is a condition to the Dealer Managers’ obligation to act and to continue to act (as the case may be) as Dealer Managers under the Dealer Manager Agreement, dated November 3, 2025, among the Company, the Guarantor, and the Dealer Managers (the “</w:t>
      </w:r>
      <w:r>
        <w:rPr>
          <w:rFonts w:ascii="Times New Roman" w:cs="Times New Roman" w:eastAsia="Times New Roman" w:hAnsi="Times New Roman"/>
          <w:sz w:val="16"/>
          <w:szCs w:val="16"/>
          <w:b w:val="1"/>
          <w:bCs w:val="1"/>
          <w:color w:val="auto"/>
        </w:rPr>
        <w:t>Dealer Manager Agreement</w:t>
      </w:r>
      <w:r>
        <w:rPr>
          <w:rFonts w:ascii="Times New Roman" w:cs="Times New Roman" w:eastAsia="Times New Roman" w:hAnsi="Times New Roman"/>
          <w:sz w:val="16"/>
          <w:szCs w:val="16"/>
          <w:color w:val="auto"/>
        </w:rPr>
        <w:t>”).</w:t>
      </w:r>
    </w:p>
    <w:p>
      <w:pPr>
        <w:spacing w:after="0" w:line="1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In consideration of the foregoing, the parties hereto agree as follows:</w:t>
      </w:r>
    </w:p>
    <w:p>
      <w:pPr>
        <w:spacing w:after="0" w:line="159" w:lineRule="exact"/>
        <w:rPr>
          <w:sz w:val="20"/>
          <w:szCs w:val="20"/>
          <w:color w:val="auto"/>
        </w:rPr>
      </w:pPr>
    </w:p>
    <w:p>
      <w:pPr>
        <w:ind w:left="1420" w:hanging="163"/>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Definitions and Rules of Interpretation</w:t>
      </w:r>
      <w:r>
        <w:rPr>
          <w:rFonts w:ascii="Times New Roman" w:cs="Times New Roman" w:eastAsia="Times New Roman" w:hAnsi="Times New Roman"/>
          <w:sz w:val="16"/>
          <w:szCs w:val="16"/>
          <w:b w:val="1"/>
          <w:bCs w:val="1"/>
          <w:color w:val="auto"/>
        </w:rPr>
        <w:t>.</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(a)       As used in this Agreement, the following terms shall have the following meanings:</w:t>
      </w:r>
    </w:p>
    <w:p>
      <w:pPr>
        <w:spacing w:after="0" w:line="159" w:lineRule="exact"/>
        <w:rPr>
          <w:sz w:val="20"/>
          <w:szCs w:val="20"/>
          <w:color w:val="auto"/>
        </w:rPr>
      </w:pPr>
    </w:p>
    <w:p>
      <w:pPr>
        <w:jc w:val="both"/>
        <w:ind w:left="340" w:right="439" w:firstLine="91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shall mean each Monday, Tuesday, Wednesday, Thursday and Friday that is not a day on which commercial banking institutions in New York, New York are authorized or obligated by law or required by executive order to close.</w:t>
      </w:r>
    </w:p>
    <w:p>
      <w:pPr>
        <w:spacing w:after="0" w:line="1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shall mean the Securities Exchange Act of 1934.</w:t>
      </w:r>
    </w:p>
    <w:p>
      <w:pPr>
        <w:spacing w:after="0" w:line="163" w:lineRule="exact"/>
        <w:rPr>
          <w:sz w:val="20"/>
          <w:szCs w:val="20"/>
          <w:color w:val="auto"/>
        </w:rPr>
      </w:pPr>
    </w:p>
    <w:p>
      <w:pPr>
        <w:ind w:left="340" w:right="459" w:firstLine="916"/>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Notes</w:t>
      </w:r>
      <w:r>
        <w:rPr>
          <w:rFonts w:ascii="Times New Roman" w:cs="Times New Roman" w:eastAsia="Times New Roman" w:hAnsi="Times New Roman"/>
          <w:sz w:val="16"/>
          <w:szCs w:val="16"/>
          <w:color w:val="auto"/>
        </w:rPr>
        <w:t>” shall mean unsubordinated unsecured notes of a series issued by the Company and fully and unconditionally guaranteed by the Guarantor under the Indenture, containing terms substantially identical in all material respects to the applicable series of Notes (except that the Exchange Notes will not be subject to restrictions on transfer or to any increase in annual interest rate for failure to comply with this Agreement) and to be offered to Holders in exchange for Registrable Notes of such series pursuant to the Exchange Offer.</w:t>
      </w:r>
    </w:p>
    <w:p>
      <w:pPr>
        <w:spacing w:after="0" w:line="127" w:lineRule="exact"/>
        <w:rPr>
          <w:sz w:val="20"/>
          <w:szCs w:val="20"/>
          <w:color w:val="auto"/>
        </w:rPr>
      </w:pPr>
    </w:p>
    <w:p>
      <w:pPr>
        <w:ind w:left="340" w:right="479" w:firstLine="91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Offer</w:t>
      </w:r>
      <w:r>
        <w:rPr>
          <w:rFonts w:ascii="Times New Roman" w:cs="Times New Roman" w:eastAsia="Times New Roman" w:hAnsi="Times New Roman"/>
          <w:sz w:val="16"/>
          <w:szCs w:val="16"/>
          <w:color w:val="auto"/>
        </w:rPr>
        <w:t>” shall mean the exchange offer by the Company Parties of Exchange Notes of each series for Registrable Notes of such series pursuant to Section 2(a).</w:t>
      </w:r>
    </w:p>
    <w:p>
      <w:pPr>
        <w:spacing w:after="0" w:line="101" w:lineRule="exact"/>
        <w:rPr>
          <w:sz w:val="20"/>
          <w:szCs w:val="20"/>
          <w:color w:val="auto"/>
        </w:rPr>
      </w:pPr>
    </w:p>
    <w:p>
      <w:pPr>
        <w:ind w:left="340" w:right="379" w:firstLine="916"/>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Offer Registration Statement</w:t>
      </w:r>
      <w:r>
        <w:rPr>
          <w:rFonts w:ascii="Times New Roman" w:cs="Times New Roman" w:eastAsia="Times New Roman" w:hAnsi="Times New Roman"/>
          <w:sz w:val="16"/>
          <w:szCs w:val="16"/>
          <w:color w:val="auto"/>
        </w:rPr>
        <w:t>” shall mean the registration statement on Form F-4 (or, if applicable, on another appropriate form) and all amendments and supplements to such registration statement, in each case including the Prospectus contained therein or deemed a part thereof, all exhibits thereto and any document incorporated by reference therein, in each case filed with the SEC in connection with the Exchange Offer.</w:t>
      </w:r>
    </w:p>
    <w:p>
      <w:pPr>
        <w:sectPr>
          <w:pgSz w:w="11900" w:h="16838" w:orient="portrait"/>
          <w:cols w:equalWidth="0" w:num="1">
            <w:col w:w="9019"/>
          </w:cols>
          <w:pgMar w:left="1440" w:top="115" w:right="1440" w:bottom="1440" w:gutter="0" w:footer="0" w:header="0"/>
        </w:sectPr>
      </w:pPr>
    </w:p>
    <w:bookmarkStart w:id="68" w:name="page69"/>
    <w:bookmarkEnd w:id="68"/>
    <w:p>
      <w:pPr>
        <w:ind w:left="12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FINRA</w:t>
      </w:r>
      <w:r>
        <w:rPr>
          <w:rFonts w:ascii="Times New Roman" w:cs="Times New Roman" w:eastAsia="Times New Roman" w:hAnsi="Times New Roman"/>
          <w:sz w:val="16"/>
          <w:szCs w:val="16"/>
          <w:color w:val="auto"/>
        </w:rPr>
        <w:t>” shall mean the Financial Industry Regulatory Authority, Inc.</w:t>
      </w:r>
    </w:p>
    <w:p>
      <w:pPr>
        <w:spacing w:after="0" w:line="163" w:lineRule="exact"/>
        <w:rPr>
          <w:sz w:val="20"/>
          <w:szCs w:val="20"/>
          <w:color w:val="auto"/>
        </w:rPr>
      </w:pPr>
    </w:p>
    <w:p>
      <w:pPr>
        <w:ind w:left="340" w:right="379" w:firstLine="91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Free Writing Prospectus</w:t>
      </w:r>
      <w:r>
        <w:rPr>
          <w:rFonts w:ascii="Times New Roman" w:cs="Times New Roman" w:eastAsia="Times New Roman" w:hAnsi="Times New Roman"/>
          <w:sz w:val="16"/>
          <w:szCs w:val="16"/>
          <w:color w:val="auto"/>
        </w:rPr>
        <w:t>” shall mean each free writing prospectus (as defined in Rule 405 under the Securities Act) prepared by or on behalf of the Company Parties and used by the Company Parties in connection with the sale of the Notes or the Exchange Notes.</w:t>
      </w:r>
    </w:p>
    <w:p>
      <w:pPr>
        <w:spacing w:after="0" w:line="116" w:lineRule="exact"/>
        <w:rPr>
          <w:sz w:val="20"/>
          <w:szCs w:val="20"/>
          <w:color w:val="auto"/>
        </w:rPr>
      </w:pPr>
    </w:p>
    <w:p>
      <w:pPr>
        <w:ind w:left="340" w:right="399" w:firstLine="916"/>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Holders</w:t>
      </w:r>
      <w:r>
        <w:rPr>
          <w:rFonts w:ascii="Times New Roman" w:cs="Times New Roman" w:eastAsia="Times New Roman" w:hAnsi="Times New Roman"/>
          <w:sz w:val="16"/>
          <w:szCs w:val="16"/>
          <w:color w:val="auto"/>
        </w:rPr>
        <w:t xml:space="preserve">” shall mean the holders of Registrable Notes, and each of their successors, assigns and direct and indirect transferees who become owners of Registrable Notes under the Indenture;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for purposes of Section 4 and Section 5, the term “</w:t>
      </w:r>
      <w:r>
        <w:rPr>
          <w:rFonts w:ascii="Times New Roman" w:cs="Times New Roman" w:eastAsia="Times New Roman" w:hAnsi="Times New Roman"/>
          <w:sz w:val="16"/>
          <w:szCs w:val="16"/>
          <w:b w:val="1"/>
          <w:bCs w:val="1"/>
          <w:color w:val="auto"/>
        </w:rPr>
        <w:t>Holders</w:t>
      </w:r>
      <w:r>
        <w:rPr>
          <w:rFonts w:ascii="Times New Roman" w:cs="Times New Roman" w:eastAsia="Times New Roman" w:hAnsi="Times New Roman"/>
          <w:sz w:val="16"/>
          <w:szCs w:val="16"/>
          <w:color w:val="auto"/>
        </w:rPr>
        <w:t>” shall include Participating Broker-Dealers.</w:t>
      </w:r>
    </w:p>
    <w:p>
      <w:pPr>
        <w:spacing w:after="0" w:line="116" w:lineRule="exact"/>
        <w:rPr>
          <w:sz w:val="20"/>
          <w:szCs w:val="20"/>
          <w:color w:val="auto"/>
        </w:rPr>
      </w:pPr>
    </w:p>
    <w:p>
      <w:pPr>
        <w:ind w:left="340" w:right="459" w:firstLine="916"/>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Indenture</w:t>
      </w:r>
      <w:r>
        <w:rPr>
          <w:rFonts w:ascii="Times New Roman" w:cs="Times New Roman" w:eastAsia="Times New Roman" w:hAnsi="Times New Roman"/>
          <w:sz w:val="16"/>
          <w:szCs w:val="16"/>
          <w:color w:val="auto"/>
        </w:rPr>
        <w:t>” shall mean the Indenture, dated as of October 8, 2024, among the Company, the Guarantor and the Trustee, as the same may be amended and supplemented from time to time in accordance with the terms thereof with applicability to the Notes and the Exchange Notes, including by the terms of the Notes and the Exchange Notes established in accordance with the Indenture, among the Company, the Guarantor and the Trustee.</w:t>
      </w:r>
    </w:p>
    <w:p>
      <w:pPr>
        <w:spacing w:after="0" w:line="122" w:lineRule="exact"/>
        <w:rPr>
          <w:sz w:val="20"/>
          <w:szCs w:val="20"/>
          <w:color w:val="auto"/>
        </w:rPr>
      </w:pPr>
    </w:p>
    <w:p>
      <w:pPr>
        <w:ind w:left="340" w:right="1159" w:firstLine="91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Notice and Questionnaire</w:t>
      </w:r>
      <w:r>
        <w:rPr>
          <w:rFonts w:ascii="Times New Roman" w:cs="Times New Roman" w:eastAsia="Times New Roman" w:hAnsi="Times New Roman"/>
          <w:sz w:val="16"/>
          <w:szCs w:val="16"/>
          <w:color w:val="auto"/>
        </w:rPr>
        <w:t>” shall mean a notice of registration statement and selling security holder questionnaire distributed to a Holder by the Company upon receipt of a Shelf Request from such Holder.</w:t>
      </w:r>
    </w:p>
    <w:p>
      <w:pPr>
        <w:spacing w:after="0" w:line="101" w:lineRule="exact"/>
        <w:rPr>
          <w:sz w:val="20"/>
          <w:szCs w:val="20"/>
          <w:color w:val="auto"/>
        </w:rPr>
      </w:pPr>
    </w:p>
    <w:p>
      <w:pPr>
        <w:ind w:left="340" w:right="559" w:firstLine="91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Participating Holder</w:t>
      </w:r>
      <w:r>
        <w:rPr>
          <w:rFonts w:ascii="Times New Roman" w:cs="Times New Roman" w:eastAsia="Times New Roman" w:hAnsi="Times New Roman"/>
          <w:sz w:val="16"/>
          <w:szCs w:val="16"/>
          <w:color w:val="auto"/>
        </w:rPr>
        <w:t>” shall mean any Holder of Registrable Notes that has returned a completed and signed Notice and Questionnaire to the Company in accordance with Section 2(b).</w:t>
      </w:r>
    </w:p>
    <w:p>
      <w:pPr>
        <w:spacing w:after="0" w:line="101" w:lineRule="exact"/>
        <w:rPr>
          <w:sz w:val="20"/>
          <w:szCs w:val="20"/>
          <w:color w:val="auto"/>
        </w:rPr>
      </w:pPr>
    </w:p>
    <w:p>
      <w:pPr>
        <w:ind w:left="340" w:right="539" w:firstLine="91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shall mean an individual, partnership, limited liability company, corporation, trust or unincorporated organization, or a government or agency or political subdivision thereof.</w:t>
      </w:r>
    </w:p>
    <w:p>
      <w:pPr>
        <w:spacing w:after="0" w:line="101" w:lineRule="exact"/>
        <w:rPr>
          <w:sz w:val="20"/>
          <w:szCs w:val="20"/>
          <w:color w:val="auto"/>
        </w:rPr>
      </w:pPr>
    </w:p>
    <w:p>
      <w:pPr>
        <w:ind w:left="340" w:right="399" w:firstLine="916"/>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Prospectus</w:t>
      </w:r>
      <w:r>
        <w:rPr>
          <w:rFonts w:ascii="Times New Roman" w:cs="Times New Roman" w:eastAsia="Times New Roman" w:hAnsi="Times New Roman"/>
          <w:sz w:val="16"/>
          <w:szCs w:val="16"/>
          <w:color w:val="auto"/>
        </w:rPr>
        <w:t>” shall mean the prospectus included in, or, pursuant to the rules and regulations of the Securities Act, deemed a part of, a Registration Statement, including any preliminary prospectus, and any such prospectus as amended or supplemented by any prospectus supplement, including a prospectus supplement with respect to the terms of the offering of any portion of the Registrable Notes covered by a Shelf Registration Statement, and by all other amendments and supplements to such prospectus, and in each case including any document incorporated by reference therein.</w:t>
      </w:r>
    </w:p>
    <w:p>
      <w:pPr>
        <w:spacing w:after="0" w:line="127" w:lineRule="exact"/>
        <w:rPr>
          <w:sz w:val="20"/>
          <w:szCs w:val="20"/>
          <w:color w:val="auto"/>
        </w:rPr>
      </w:pPr>
    </w:p>
    <w:p>
      <w:pPr>
        <w:ind w:left="340" w:right="419" w:firstLine="91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Registrable Notes</w:t>
      </w:r>
      <w:r>
        <w:rPr>
          <w:rFonts w:ascii="Times New Roman" w:cs="Times New Roman" w:eastAsia="Times New Roman" w:hAnsi="Times New Roman"/>
          <w:sz w:val="16"/>
          <w:szCs w:val="16"/>
          <w:color w:val="auto"/>
        </w:rPr>
        <w:t xml:space="preserve">” shall mean the Notes;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Notes shall cease to be Registrable Notes upon the earliest to occur of the following: (i) when a Registration Statement with respect to such Notes has become effective under the Securities Act and such Notes have been exchanged or disposed of pursuant to such Registration Statement, (ii) when such Notes cease to be outstanding, (iii) when such Notes have been resold pursuant to Rule 144 (or any successor provision) under the Securities Act (but not Rule 144A),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Company Parties shall have removed or caused to be removed any restrictive legend on such Notes or (iv) the date that is three years after the date of this Agreement.</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019"/>
          </w:cols>
          <w:pgMar w:left="1440" w:top="227" w:right="1440" w:bottom="1440" w:gutter="0" w:footer="0" w:header="0"/>
        </w:sectPr>
      </w:pPr>
    </w:p>
    <w:bookmarkStart w:id="69" w:name="page70"/>
    <w:bookmarkEnd w:id="69"/>
    <w:p>
      <w:pPr>
        <w:ind w:left="340" w:right="399" w:firstLine="916"/>
        <w:spacing w:after="0" w:line="24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Registration Default</w:t>
      </w:r>
      <w:r>
        <w:rPr>
          <w:rFonts w:ascii="Times New Roman" w:cs="Times New Roman" w:eastAsia="Times New Roman" w:hAnsi="Times New Roman"/>
          <w:sz w:val="16"/>
          <w:szCs w:val="16"/>
          <w:color w:val="auto"/>
        </w:rPr>
        <w:t>” shall mean the occurrence of any of the following: (i) the Exchange Offer Registration Statement referenced in Section 2(a)(x) is not deemed effective on or prior to the Target Registration Date or (ii) if the Exchange Offer is not consummated prior to the Target Registration Date and, if a Shelf Registration Statement is required pursuant to Section 2(b), such Shelf Registration Statement is not declared effective on or prior to the later of (x) the Target Registration Date and (y) 60 days after delivery of the applicable Shelf Request, or (iii) if a Shelf Registration Statement is required pursuant to Section 2(b) and after being declared effective, such Shelf Registration Statement ceases to be effective or the Prospectus contained therein ceases to be usable for resales of Registrable Notes (a) on more than two occasions of at least 30 consecutive days during the Shelf Effectiveness Period or (b) at any time in any 12-month period during the Shelf Effectiveness Period and such failure to remain effective or useable for resales of Registrable Notes exists for more than</w:t>
      </w:r>
    </w:p>
    <w:p>
      <w:pPr>
        <w:spacing w:after="0" w:line="5" w:lineRule="exact"/>
        <w:rPr>
          <w:sz w:val="20"/>
          <w:szCs w:val="20"/>
          <w:color w:val="auto"/>
        </w:rPr>
      </w:pPr>
    </w:p>
    <w:p>
      <w:pPr>
        <w:ind w:left="340" w:right="639"/>
        <w:spacing w:after="0" w:line="245" w:lineRule="auto"/>
        <w:rPr>
          <w:sz w:val="20"/>
          <w:szCs w:val="20"/>
          <w:color w:val="auto"/>
        </w:rPr>
      </w:pPr>
      <w:r>
        <w:rPr>
          <w:rFonts w:ascii="Times New Roman" w:cs="Times New Roman" w:eastAsia="Times New Roman" w:hAnsi="Times New Roman"/>
          <w:sz w:val="16"/>
          <w:szCs w:val="16"/>
          <w:color w:val="auto"/>
        </w:rPr>
        <w:t xml:space="preserve">120 days (whether or not consecutive) in any 12-month period;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each of the foregoing time periods will be extended for each day (if any) after the date of this Agreement that the SEC is not fully operational due to the failure of the U.S. Congress to pass relevant appropriation legislation.</w:t>
      </w:r>
    </w:p>
    <w:p>
      <w:pPr>
        <w:spacing w:after="0" w:line="129" w:lineRule="exact"/>
        <w:rPr>
          <w:sz w:val="20"/>
          <w:szCs w:val="20"/>
          <w:color w:val="auto"/>
        </w:rPr>
      </w:pPr>
    </w:p>
    <w:p>
      <w:pPr>
        <w:ind w:left="340" w:right="359" w:firstLine="916"/>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Registration Expenses</w:t>
      </w:r>
      <w:r>
        <w:rPr>
          <w:rFonts w:ascii="Times New Roman" w:cs="Times New Roman" w:eastAsia="Times New Roman" w:hAnsi="Times New Roman"/>
          <w:sz w:val="16"/>
          <w:szCs w:val="16"/>
          <w:color w:val="auto"/>
        </w:rPr>
        <w:t>” shall mean any and all expenses incident to performance of or compliance by the Company Parties with this Agreement, including without limitation: (i) all SEC or FINRA registration and filing fees, (ii) all fees and expenses incurred in connection with compliance with state securities or blue sky laws (including reasonable fees and disbursements (subject to any agreed cap) of one counsel for any Underwriters or Holders in connection with blue sky qualification of any Exchange Notes or Registrable Notes), (iii) all expenses of the Company Parties in preparing or assisting in preparing, printing and distributing any Registration Statement, any Prospectus, any Free Writing Prospectus and any amendments or supplements thereto, any underwriting agreements, securities sales agreements or other similar agreements and any other documents relating to the performance of and compliance with this Agreement, (iv) all rating agency fees incurred by the Company Parties (including with respect to maintaining ratings of the Notes and the Exchange Notes), (v) all fees and disbursements relating to the qualification of the Indenture under applicable securities laws (subject to any agreed cap), (vi) the reasonable fees and disbursements of the Trustee and its one counsel, (vii) the fees and disbursements of counsel for the Company Parties and, in the case of a Shelf Registration Statement, the reasonable fees and disbursements of one counsel for the Participating Holders (subject to any agreed cap) (which counsel shall be selected or replaced by the Participating Holders holding a majority of the aggregate principal amount of Registrable Notes held by such Participating Holders), (viii) the fees and disbursements of the independent registered public accountants of the Company Parties, including the expenses of “comfort” letters required by or incident to the performance of and compliance with this Agreement, but excluding fees and expenses of counsel to the Underwriters (other than fees and expenses set forth in clause (ii) above) or the Holders and underwriting discounts and commissions, brokerage commissions and transfer taxes, if any, relating to the sale or disposition of Registrable Notes by a Holder and (ix) the fees and expenses of any listing of the Exchange Notes.</w:t>
      </w:r>
    </w:p>
    <w:p>
      <w:pPr>
        <w:spacing w:after="0" w:line="142" w:lineRule="exact"/>
        <w:rPr>
          <w:sz w:val="20"/>
          <w:szCs w:val="20"/>
          <w:color w:val="auto"/>
        </w:rPr>
      </w:pPr>
    </w:p>
    <w:p>
      <w:pPr>
        <w:ind w:left="340" w:right="399" w:firstLine="916"/>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Registration Statement</w:t>
      </w:r>
      <w:r>
        <w:rPr>
          <w:rFonts w:ascii="Times New Roman" w:cs="Times New Roman" w:eastAsia="Times New Roman" w:hAnsi="Times New Roman"/>
          <w:sz w:val="16"/>
          <w:szCs w:val="16"/>
          <w:color w:val="auto"/>
        </w:rPr>
        <w:t>” shall mean any registration statement of the Company and the Guarantor, including the Prospectus contained therein or deemed a part thereof, all amendments and supplements to any such registration statement, including post-effective amendments, all exhibits to any such registration statement and any document incorporated by reference therein.</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019"/>
          </w:cols>
          <w:pgMar w:left="1440" w:top="227" w:right="1440" w:bottom="1440" w:gutter="0" w:footer="0" w:header="0"/>
        </w:sectPr>
      </w:pPr>
    </w:p>
    <w:bookmarkStart w:id="70" w:name="page71"/>
    <w:bookmarkEnd w:id="70"/>
    <w:p>
      <w:pPr>
        <w:ind w:left="12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shall mean the United States Securities and Exchange Commission.</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shall mean the Securities Act of 1933.</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Shelf Registration</w:t>
      </w:r>
      <w:r>
        <w:rPr>
          <w:rFonts w:ascii="Times New Roman" w:cs="Times New Roman" w:eastAsia="Times New Roman" w:hAnsi="Times New Roman"/>
          <w:sz w:val="16"/>
          <w:szCs w:val="16"/>
          <w:color w:val="auto"/>
        </w:rPr>
        <w:t>” shall mean a registration effected pursuant to Section 2(b).</w:t>
      </w:r>
    </w:p>
    <w:p>
      <w:pPr>
        <w:spacing w:after="0" w:line="163" w:lineRule="exact"/>
        <w:rPr>
          <w:sz w:val="20"/>
          <w:szCs w:val="20"/>
          <w:color w:val="auto"/>
        </w:rPr>
      </w:pPr>
    </w:p>
    <w:p>
      <w:pPr>
        <w:ind w:left="340" w:right="499" w:firstLine="916"/>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Shelf Registration Statement</w:t>
      </w:r>
      <w:r>
        <w:rPr>
          <w:rFonts w:ascii="Times New Roman" w:cs="Times New Roman" w:eastAsia="Times New Roman" w:hAnsi="Times New Roman"/>
          <w:sz w:val="16"/>
          <w:szCs w:val="16"/>
          <w:color w:val="auto"/>
        </w:rPr>
        <w:t>” shall mean a “shelf” registration statement of the Company and the Guarantor that covers all or a portion of the Registrable Notes on an appropriate form under Rule 415 under the Securities Act, or any similar rule that may be adopted by the SEC, and all amendments and supplements to such registration statement, including post-effective amendments, in each case including the Prospectus contained therein or deemed a part thereof, all exhibits thereto and any document incorporated by reference therein.</w:t>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Staff</w:t>
      </w:r>
      <w:r>
        <w:rPr>
          <w:rFonts w:ascii="Times New Roman" w:cs="Times New Roman" w:eastAsia="Times New Roman" w:hAnsi="Times New Roman"/>
          <w:sz w:val="16"/>
          <w:szCs w:val="16"/>
          <w:color w:val="auto"/>
        </w:rPr>
        <w:t>” shall mean the staff of the SEC.</w:t>
      </w:r>
    </w:p>
    <w:p>
      <w:pPr>
        <w:spacing w:after="0" w:line="163" w:lineRule="exact"/>
        <w:rPr>
          <w:sz w:val="20"/>
          <w:szCs w:val="20"/>
          <w:color w:val="auto"/>
        </w:rPr>
      </w:pPr>
    </w:p>
    <w:p>
      <w:pPr>
        <w:ind w:left="340" w:right="499" w:firstLine="916"/>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Target Registration Date</w:t>
      </w:r>
      <w:r>
        <w:rPr>
          <w:rFonts w:ascii="Times New Roman" w:cs="Times New Roman" w:eastAsia="Times New Roman" w:hAnsi="Times New Roman"/>
          <w:sz w:val="16"/>
          <w:szCs w:val="16"/>
          <w:color w:val="auto"/>
        </w:rPr>
        <w:t xml:space="preserve">” shall mean 365 days after the date of this Agreement (or if such 365th day is not a Business Day, the next succeeding Business Day);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Target Registration Date shall be extended for each day from and including the date of this Agreement that the SEC is not fully operational due to the failure of the U.S. Congress to pass relevant appropriation legislation.</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Trust Indenture Act</w:t>
      </w:r>
      <w:r>
        <w:rPr>
          <w:rFonts w:ascii="Times New Roman" w:cs="Times New Roman" w:eastAsia="Times New Roman" w:hAnsi="Times New Roman"/>
          <w:sz w:val="16"/>
          <w:szCs w:val="16"/>
          <w:color w:val="auto"/>
        </w:rPr>
        <w:t>” shall mean the Trust Indenture Act of 1939.</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shall mean Deutsche Bank Trust Company Americas, as trustee with respect to the Notes under the</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Indenture.</w:t>
      </w:r>
    </w:p>
    <w:p>
      <w:pPr>
        <w:spacing w:after="0" w:line="141" w:lineRule="exact"/>
        <w:rPr>
          <w:sz w:val="20"/>
          <w:szCs w:val="20"/>
          <w:color w:val="auto"/>
        </w:rPr>
      </w:pPr>
    </w:p>
    <w:p>
      <w:pPr>
        <w:ind w:left="340" w:right="719" w:firstLine="916"/>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Underwritten Offering</w:t>
      </w:r>
      <w:r>
        <w:rPr>
          <w:rFonts w:ascii="Times New Roman" w:cs="Times New Roman" w:eastAsia="Times New Roman" w:hAnsi="Times New Roman"/>
          <w:sz w:val="16"/>
          <w:szCs w:val="16"/>
          <w:color w:val="auto"/>
        </w:rPr>
        <w:t>” shall mean an offering in which Registrable Notes are sold to an Underwriter for reoffering to the public.</w:t>
      </w:r>
    </w:p>
    <w:p>
      <w:pPr>
        <w:spacing w:after="0" w:line="105"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6"/>
          <w:szCs w:val="16"/>
          <w:color w:val="auto"/>
        </w:rPr>
        <w:t>(b)      Each of the following terms shall have the meaning set forth in the indicated Section of this Agreement:</w:t>
      </w:r>
    </w:p>
    <w:p>
      <w:pPr>
        <w:sectPr>
          <w:pgSz w:w="11900" w:h="16838" w:orient="portrait"/>
          <w:cols w:equalWidth="0" w:num="1">
            <w:col w:w="9019"/>
          </w:cols>
          <w:pgMar w:left="1440" w:top="227" w:right="1440" w:bottom="1440" w:gutter="0" w:footer="0" w:header="0"/>
        </w:sectPr>
      </w:pP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Agreement</w:t>
      </w:r>
    </w:p>
    <w:p>
      <w:pPr>
        <w:spacing w:after="0" w:line="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Company</w:t>
      </w:r>
    </w:p>
    <w:p>
      <w:pPr>
        <w:ind w:left="1260"/>
        <w:spacing w:after="0"/>
        <w:rPr>
          <w:sz w:val="20"/>
          <w:szCs w:val="20"/>
          <w:color w:val="auto"/>
        </w:rPr>
      </w:pPr>
      <w:r>
        <w:rPr>
          <w:rFonts w:ascii="Times New Roman" w:cs="Times New Roman" w:eastAsia="Times New Roman" w:hAnsi="Times New Roman"/>
          <w:sz w:val="16"/>
          <w:szCs w:val="16"/>
          <w:color w:val="auto"/>
        </w:rPr>
        <w:t>Company Parties</w:t>
      </w:r>
    </w:p>
    <w:p>
      <w:pPr>
        <w:ind w:left="1260"/>
        <w:spacing w:after="0"/>
        <w:rPr>
          <w:sz w:val="20"/>
          <w:szCs w:val="20"/>
          <w:color w:val="auto"/>
        </w:rPr>
      </w:pPr>
      <w:r>
        <w:rPr>
          <w:rFonts w:ascii="Times New Roman" w:cs="Times New Roman" w:eastAsia="Times New Roman" w:hAnsi="Times New Roman"/>
          <w:sz w:val="16"/>
          <w:szCs w:val="16"/>
          <w:color w:val="auto"/>
        </w:rPr>
        <w:t>Dealer Manager Agreement</w:t>
      </w:r>
    </w:p>
    <w:p>
      <w:pPr>
        <w:ind w:left="1260"/>
        <w:spacing w:after="0"/>
        <w:rPr>
          <w:sz w:val="20"/>
          <w:szCs w:val="20"/>
          <w:color w:val="auto"/>
        </w:rPr>
      </w:pPr>
      <w:r>
        <w:rPr>
          <w:rFonts w:ascii="Times New Roman" w:cs="Times New Roman" w:eastAsia="Times New Roman" w:hAnsi="Times New Roman"/>
          <w:sz w:val="16"/>
          <w:szCs w:val="16"/>
          <w:color w:val="auto"/>
        </w:rPr>
        <w:t>Dealer Managers</w:t>
      </w:r>
    </w:p>
    <w:p>
      <w:pPr>
        <w:ind w:left="1260"/>
        <w:spacing w:after="0"/>
        <w:rPr>
          <w:sz w:val="20"/>
          <w:szCs w:val="20"/>
          <w:color w:val="auto"/>
        </w:rPr>
      </w:pPr>
      <w:r>
        <w:rPr>
          <w:rFonts w:ascii="Times New Roman" w:cs="Times New Roman" w:eastAsia="Times New Roman" w:hAnsi="Times New Roman"/>
          <w:sz w:val="16"/>
          <w:szCs w:val="16"/>
          <w:color w:val="auto"/>
        </w:rPr>
        <w:t>Exchange Dates</w:t>
      </w:r>
    </w:p>
    <w:p>
      <w:pPr>
        <w:ind w:left="1260"/>
        <w:spacing w:after="0"/>
        <w:rPr>
          <w:sz w:val="20"/>
          <w:szCs w:val="20"/>
          <w:color w:val="auto"/>
        </w:rPr>
      </w:pPr>
      <w:r>
        <w:rPr>
          <w:rFonts w:ascii="Times New Roman" w:cs="Times New Roman" w:eastAsia="Times New Roman" w:hAnsi="Times New Roman"/>
          <w:sz w:val="16"/>
          <w:szCs w:val="16"/>
          <w:color w:val="auto"/>
        </w:rPr>
        <w:t>Guarantor</w:t>
      </w:r>
    </w:p>
    <w:p>
      <w:pPr>
        <w:ind w:left="1260"/>
        <w:spacing w:after="0"/>
        <w:rPr>
          <w:sz w:val="20"/>
          <w:szCs w:val="20"/>
          <w:color w:val="auto"/>
        </w:rPr>
      </w:pPr>
      <w:r>
        <w:rPr>
          <w:rFonts w:ascii="Times New Roman" w:cs="Times New Roman" w:eastAsia="Times New Roman" w:hAnsi="Times New Roman"/>
          <w:sz w:val="16"/>
          <w:szCs w:val="16"/>
          <w:color w:val="auto"/>
        </w:rPr>
        <w:t>Inspector</w:t>
      </w:r>
    </w:p>
    <w:p>
      <w:pPr>
        <w:ind w:left="1260"/>
        <w:spacing w:after="0"/>
        <w:rPr>
          <w:sz w:val="20"/>
          <w:szCs w:val="20"/>
          <w:color w:val="auto"/>
        </w:rPr>
      </w:pPr>
      <w:r>
        <w:rPr>
          <w:rFonts w:ascii="Times New Roman" w:cs="Times New Roman" w:eastAsia="Times New Roman" w:hAnsi="Times New Roman"/>
          <w:sz w:val="16"/>
          <w:szCs w:val="16"/>
          <w:color w:val="auto"/>
        </w:rPr>
        <w:t>Issuer Information</w:t>
      </w:r>
    </w:p>
    <w:p>
      <w:pPr>
        <w:ind w:left="1260"/>
        <w:spacing w:after="0"/>
        <w:rPr>
          <w:sz w:val="20"/>
          <w:szCs w:val="20"/>
          <w:color w:val="auto"/>
        </w:rPr>
      </w:pPr>
      <w:r>
        <w:rPr>
          <w:rFonts w:ascii="Times New Roman" w:cs="Times New Roman" w:eastAsia="Times New Roman" w:hAnsi="Times New Roman"/>
          <w:sz w:val="16"/>
          <w:szCs w:val="16"/>
          <w:color w:val="auto"/>
        </w:rPr>
        <w:t>Notes</w:t>
      </w:r>
    </w:p>
    <w:p>
      <w:pPr>
        <w:ind w:left="1260"/>
        <w:spacing w:after="0"/>
        <w:rPr>
          <w:sz w:val="20"/>
          <w:szCs w:val="20"/>
          <w:color w:val="auto"/>
        </w:rPr>
      </w:pPr>
      <w:r>
        <w:rPr>
          <w:rFonts w:ascii="Times New Roman" w:cs="Times New Roman" w:eastAsia="Times New Roman" w:hAnsi="Times New Roman"/>
          <w:sz w:val="16"/>
          <w:szCs w:val="16"/>
          <w:color w:val="auto"/>
        </w:rPr>
        <w:t>Old Notes</w:t>
      </w:r>
    </w:p>
    <w:p>
      <w:pPr>
        <w:ind w:left="1260"/>
        <w:spacing w:after="0"/>
        <w:rPr>
          <w:sz w:val="20"/>
          <w:szCs w:val="20"/>
          <w:color w:val="auto"/>
        </w:rPr>
      </w:pPr>
      <w:r>
        <w:rPr>
          <w:rFonts w:ascii="Times New Roman" w:cs="Times New Roman" w:eastAsia="Times New Roman" w:hAnsi="Times New Roman"/>
          <w:sz w:val="16"/>
          <w:szCs w:val="16"/>
          <w:color w:val="auto"/>
        </w:rPr>
        <w:t>Participating Broker-Dealers</w:t>
      </w:r>
    </w:p>
    <w:p>
      <w:pPr>
        <w:ind w:left="1260"/>
        <w:spacing w:after="0"/>
        <w:rPr>
          <w:sz w:val="20"/>
          <w:szCs w:val="20"/>
          <w:color w:val="auto"/>
        </w:rPr>
      </w:pPr>
      <w:r>
        <w:rPr>
          <w:rFonts w:ascii="Times New Roman" w:cs="Times New Roman" w:eastAsia="Times New Roman" w:hAnsi="Times New Roman"/>
          <w:sz w:val="16"/>
          <w:szCs w:val="16"/>
          <w:color w:val="auto"/>
        </w:rPr>
        <w:t>Shelf Effectiveness Period</w:t>
      </w:r>
    </w:p>
    <w:p>
      <w:pPr>
        <w:ind w:left="1260"/>
        <w:spacing w:after="0"/>
        <w:rPr>
          <w:sz w:val="20"/>
          <w:szCs w:val="20"/>
          <w:color w:val="auto"/>
        </w:rPr>
      </w:pPr>
      <w:r>
        <w:rPr>
          <w:rFonts w:ascii="Times New Roman" w:cs="Times New Roman" w:eastAsia="Times New Roman" w:hAnsi="Times New Roman"/>
          <w:sz w:val="16"/>
          <w:szCs w:val="16"/>
          <w:color w:val="auto"/>
        </w:rPr>
        <w:t>Shelf Request</w:t>
      </w:r>
    </w:p>
    <w:p>
      <w:pPr>
        <w:ind w:left="1260"/>
        <w:spacing w:after="0"/>
        <w:rPr>
          <w:sz w:val="20"/>
          <w:szCs w:val="20"/>
          <w:color w:val="auto"/>
        </w:rPr>
      </w:pPr>
      <w:r>
        <w:rPr>
          <w:rFonts w:ascii="Times New Roman" w:cs="Times New Roman" w:eastAsia="Times New Roman" w:hAnsi="Times New Roman"/>
          <w:sz w:val="16"/>
          <w:szCs w:val="16"/>
          <w:color w:val="auto"/>
        </w:rPr>
        <w:t>Underwriter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Preamble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Preamble</w:t>
      </w:r>
    </w:p>
    <w:p>
      <w:pPr>
        <w:spacing w:after="0"/>
        <w:rPr>
          <w:sz w:val="20"/>
          <w:szCs w:val="20"/>
          <w:color w:val="auto"/>
        </w:rPr>
      </w:pPr>
      <w:r>
        <w:rPr>
          <w:rFonts w:ascii="Times New Roman" w:cs="Times New Roman" w:eastAsia="Times New Roman" w:hAnsi="Times New Roman"/>
          <w:sz w:val="16"/>
          <w:szCs w:val="16"/>
          <w:color w:val="auto"/>
        </w:rPr>
        <w:t>Preamble</w:t>
      </w:r>
    </w:p>
    <w:p>
      <w:pPr>
        <w:spacing w:after="0"/>
        <w:rPr>
          <w:sz w:val="20"/>
          <w:szCs w:val="20"/>
          <w:color w:val="auto"/>
        </w:rPr>
      </w:pPr>
      <w:r>
        <w:rPr>
          <w:rFonts w:ascii="Times New Roman" w:cs="Times New Roman" w:eastAsia="Times New Roman" w:hAnsi="Times New Roman"/>
          <w:sz w:val="16"/>
          <w:szCs w:val="16"/>
          <w:color w:val="auto"/>
        </w:rPr>
        <w:t>Preamble</w:t>
      </w:r>
    </w:p>
    <w:p>
      <w:pPr>
        <w:spacing w:after="0"/>
        <w:rPr>
          <w:sz w:val="20"/>
          <w:szCs w:val="20"/>
          <w:color w:val="auto"/>
        </w:rPr>
      </w:pPr>
      <w:r>
        <w:rPr>
          <w:rFonts w:ascii="Times New Roman" w:cs="Times New Roman" w:eastAsia="Times New Roman" w:hAnsi="Times New Roman"/>
          <w:sz w:val="16"/>
          <w:szCs w:val="16"/>
          <w:color w:val="auto"/>
        </w:rPr>
        <w:t>Preamble</w:t>
      </w:r>
    </w:p>
    <w:p>
      <w:pPr>
        <w:spacing w:after="0"/>
        <w:rPr>
          <w:sz w:val="20"/>
          <w:szCs w:val="20"/>
          <w:color w:val="auto"/>
        </w:rPr>
      </w:pPr>
      <w:r>
        <w:rPr>
          <w:rFonts w:ascii="Times New Roman" w:cs="Times New Roman" w:eastAsia="Times New Roman" w:hAnsi="Times New Roman"/>
          <w:sz w:val="16"/>
          <w:szCs w:val="16"/>
          <w:color w:val="auto"/>
        </w:rPr>
        <w:t>Section 2(a)(ii)</w:t>
      </w:r>
    </w:p>
    <w:p>
      <w:pPr>
        <w:spacing w:after="0"/>
        <w:rPr>
          <w:sz w:val="20"/>
          <w:szCs w:val="20"/>
          <w:color w:val="auto"/>
        </w:rPr>
      </w:pPr>
      <w:r>
        <w:rPr>
          <w:rFonts w:ascii="Times New Roman" w:cs="Times New Roman" w:eastAsia="Times New Roman" w:hAnsi="Times New Roman"/>
          <w:sz w:val="16"/>
          <w:szCs w:val="16"/>
          <w:color w:val="auto"/>
        </w:rPr>
        <w:t>Preamble</w:t>
      </w:r>
    </w:p>
    <w:p>
      <w:pPr>
        <w:spacing w:after="0"/>
        <w:rPr>
          <w:sz w:val="20"/>
          <w:szCs w:val="20"/>
          <w:color w:val="auto"/>
        </w:rPr>
      </w:pPr>
      <w:r>
        <w:rPr>
          <w:rFonts w:ascii="Times New Roman" w:cs="Times New Roman" w:eastAsia="Times New Roman" w:hAnsi="Times New Roman"/>
          <w:sz w:val="16"/>
          <w:szCs w:val="16"/>
          <w:color w:val="auto"/>
        </w:rPr>
        <w:t>Section 3(a)(xiv)</w:t>
      </w:r>
    </w:p>
    <w:p>
      <w:pPr>
        <w:spacing w:after="0"/>
        <w:rPr>
          <w:sz w:val="20"/>
          <w:szCs w:val="20"/>
          <w:color w:val="auto"/>
        </w:rPr>
      </w:pPr>
      <w:r>
        <w:rPr>
          <w:rFonts w:ascii="Times New Roman" w:cs="Times New Roman" w:eastAsia="Times New Roman" w:hAnsi="Times New Roman"/>
          <w:sz w:val="16"/>
          <w:szCs w:val="16"/>
          <w:color w:val="auto"/>
        </w:rPr>
        <w:t>Section 5(a)</w:t>
      </w:r>
    </w:p>
    <w:p>
      <w:pPr>
        <w:spacing w:after="0"/>
        <w:rPr>
          <w:sz w:val="20"/>
          <w:szCs w:val="20"/>
          <w:color w:val="auto"/>
        </w:rPr>
      </w:pPr>
      <w:r>
        <w:rPr>
          <w:rFonts w:ascii="Times New Roman" w:cs="Times New Roman" w:eastAsia="Times New Roman" w:hAnsi="Times New Roman"/>
          <w:sz w:val="16"/>
          <w:szCs w:val="16"/>
          <w:color w:val="auto"/>
        </w:rPr>
        <w:t>Preamble</w:t>
      </w:r>
    </w:p>
    <w:p>
      <w:pPr>
        <w:spacing w:after="0"/>
        <w:rPr>
          <w:sz w:val="20"/>
          <w:szCs w:val="20"/>
          <w:color w:val="auto"/>
        </w:rPr>
      </w:pPr>
      <w:r>
        <w:rPr>
          <w:rFonts w:ascii="Times New Roman" w:cs="Times New Roman" w:eastAsia="Times New Roman" w:hAnsi="Times New Roman"/>
          <w:sz w:val="16"/>
          <w:szCs w:val="16"/>
          <w:color w:val="auto"/>
        </w:rPr>
        <w:t>Preamble</w:t>
      </w:r>
    </w:p>
    <w:p>
      <w:pPr>
        <w:spacing w:after="0"/>
        <w:rPr>
          <w:sz w:val="20"/>
          <w:szCs w:val="20"/>
          <w:color w:val="auto"/>
        </w:rPr>
      </w:pPr>
      <w:r>
        <w:rPr>
          <w:rFonts w:ascii="Times New Roman" w:cs="Times New Roman" w:eastAsia="Times New Roman" w:hAnsi="Times New Roman"/>
          <w:sz w:val="16"/>
          <w:szCs w:val="16"/>
          <w:color w:val="auto"/>
        </w:rPr>
        <w:t>Section 4(a)</w:t>
      </w:r>
    </w:p>
    <w:p>
      <w:pPr>
        <w:spacing w:after="0"/>
        <w:rPr>
          <w:sz w:val="20"/>
          <w:szCs w:val="20"/>
          <w:color w:val="auto"/>
        </w:rPr>
      </w:pPr>
      <w:r>
        <w:rPr>
          <w:rFonts w:ascii="Times New Roman" w:cs="Times New Roman" w:eastAsia="Times New Roman" w:hAnsi="Times New Roman"/>
          <w:sz w:val="16"/>
          <w:szCs w:val="16"/>
          <w:color w:val="auto"/>
        </w:rPr>
        <w:t>Section 2(b)</w:t>
      </w:r>
    </w:p>
    <w:p>
      <w:pPr>
        <w:spacing w:after="0"/>
        <w:rPr>
          <w:sz w:val="20"/>
          <w:szCs w:val="20"/>
          <w:color w:val="auto"/>
        </w:rPr>
      </w:pPr>
      <w:r>
        <w:rPr>
          <w:rFonts w:ascii="Times New Roman" w:cs="Times New Roman" w:eastAsia="Times New Roman" w:hAnsi="Times New Roman"/>
          <w:sz w:val="16"/>
          <w:szCs w:val="16"/>
          <w:color w:val="auto"/>
        </w:rPr>
        <w:t>Section 2(b)</w:t>
      </w:r>
    </w:p>
    <w:p>
      <w:pPr>
        <w:spacing w:after="0"/>
        <w:rPr>
          <w:sz w:val="20"/>
          <w:szCs w:val="20"/>
          <w:color w:val="auto"/>
        </w:rPr>
      </w:pPr>
      <w:r>
        <w:rPr>
          <w:rFonts w:ascii="Times New Roman" w:cs="Times New Roman" w:eastAsia="Times New Roman" w:hAnsi="Times New Roman"/>
          <w:sz w:val="16"/>
          <w:szCs w:val="16"/>
          <w:color w:val="auto"/>
        </w:rPr>
        <w:t>Section 3(f)</w:t>
      </w:r>
    </w:p>
    <w:p>
      <w:pPr>
        <w:spacing w:after="0" w:line="186" w:lineRule="exact"/>
        <w:rPr>
          <w:sz w:val="20"/>
          <w:szCs w:val="20"/>
          <w:color w:val="auto"/>
        </w:rPr>
      </w:pPr>
    </w:p>
    <w:p>
      <w:pPr>
        <w:sectPr>
          <w:pgSz w:w="11900" w:h="16838" w:orient="portrait"/>
          <w:cols w:equalWidth="0" w:num="2">
            <w:col w:w="5600" w:space="720"/>
            <w:col w:w="2699"/>
          </w:cols>
          <w:pgMar w:left="1440" w:top="227"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019"/>
          </w:cols>
          <w:pgMar w:left="1440" w:top="227" w:right="1440" w:bottom="1440" w:gutter="0" w:footer="0" w:header="0"/>
          <w:type w:val="continuous"/>
        </w:sectPr>
      </w:pPr>
    </w:p>
    <w:bookmarkStart w:id="71" w:name="page72"/>
    <w:bookmarkEnd w:id="71"/>
    <w:p>
      <w:pPr>
        <w:ind w:left="1660" w:hanging="411"/>
        <w:spacing w:after="0"/>
        <w:tabs>
          <w:tab w:leader="none" w:pos="16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In this Agreement, unless the context otherwise requires:</w:t>
      </w:r>
    </w:p>
    <w:p>
      <w:pPr>
        <w:spacing w:after="0" w:line="183" w:lineRule="exact"/>
        <w:rPr>
          <w:rFonts w:ascii="Times New Roman" w:cs="Times New Roman" w:eastAsia="Times New Roman" w:hAnsi="Times New Roman"/>
          <w:sz w:val="16"/>
          <w:szCs w:val="16"/>
          <w:color w:val="auto"/>
        </w:rPr>
      </w:pPr>
    </w:p>
    <w:p>
      <w:pPr>
        <w:ind w:left="2080" w:hanging="412"/>
        <w:spacing w:after="0"/>
        <w:tabs>
          <w:tab w:leader="none" w:pos="208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a Section or Schedule are to a Section of or Schedule to this Agreement; and</w:t>
      </w:r>
    </w:p>
    <w:p>
      <w:pPr>
        <w:spacing w:after="0" w:line="183" w:lineRule="exact"/>
        <w:rPr>
          <w:rFonts w:ascii="Times New Roman" w:cs="Times New Roman" w:eastAsia="Times New Roman" w:hAnsi="Times New Roman"/>
          <w:sz w:val="16"/>
          <w:szCs w:val="16"/>
          <w:color w:val="auto"/>
        </w:rPr>
      </w:pPr>
    </w:p>
    <w:p>
      <w:pPr>
        <w:ind w:left="2080" w:right="559" w:hanging="412"/>
        <w:spacing w:after="0" w:line="275" w:lineRule="auto"/>
        <w:tabs>
          <w:tab w:leader="none" w:pos="208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any statute, rule or regulation are to such statute, rule or regulation as amended from time to time.</w:t>
      </w:r>
    </w:p>
    <w:p>
      <w:pPr>
        <w:spacing w:after="0" w:line="119" w:lineRule="exact"/>
        <w:rPr>
          <w:sz w:val="20"/>
          <w:szCs w:val="20"/>
          <w:color w:val="auto"/>
        </w:rPr>
      </w:pPr>
    </w:p>
    <w:tbl>
      <w:tblPr>
        <w:tblLayout w:type="fixed"/>
        <w:tblInd w:w="1240" w:type="dxa"/>
        <w:tblCellMar>
          <w:top w:w="0" w:type="dxa"/>
          <w:left w:w="0" w:type="dxa"/>
          <w:bottom w:w="0" w:type="dxa"/>
          <w:right w:w="0" w:type="dxa"/>
        </w:tblCellMar>
      </w:tblPr>
      <w:tr>
        <w:trPr>
          <w:trHeight w:val="184"/>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6"/>
                <w:szCs w:val="16"/>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Registration Under the Securities Act</w:t>
            </w:r>
            <w:r>
              <w:rPr>
                <w:rFonts w:ascii="Times New Roman" w:cs="Times New Roman" w:eastAsia="Times New Roman" w:hAnsi="Times New Roman"/>
                <w:sz w:val="16"/>
                <w:szCs w:val="16"/>
                <w:color w:val="auto"/>
              </w:rPr>
              <w:t>.</w:t>
            </w:r>
          </w:p>
        </w:tc>
      </w:tr>
      <w:tr>
        <w:trPr>
          <w:trHeight w:val="20"/>
        </w:trPr>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355"/>
        </w:trPr>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9"/>
              </w:rPr>
              <w:t>(a)  </w:t>
            </w:r>
          </w:p>
        </w:tc>
        <w:tc>
          <w:tcPr>
            <w:tcW w:w="69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To the extent not prohibited by any applicable law or applicable interpretations of the Staff, the Company</w:t>
            </w:r>
          </w:p>
        </w:tc>
      </w:tr>
    </w:tbl>
    <w:p>
      <w:pPr>
        <w:ind w:left="340" w:right="399"/>
        <w:spacing w:after="0" w:line="241" w:lineRule="auto"/>
        <w:rPr>
          <w:sz w:val="20"/>
          <w:szCs w:val="20"/>
          <w:color w:val="auto"/>
        </w:rPr>
      </w:pPr>
      <w:r>
        <w:rPr>
          <w:rFonts w:ascii="Times New Roman" w:cs="Times New Roman" w:eastAsia="Times New Roman" w:hAnsi="Times New Roman"/>
          <w:sz w:val="16"/>
          <w:szCs w:val="16"/>
          <w:color w:val="auto"/>
        </w:rPr>
        <w:t>Parties shall use their commercially reasonable efforts to (x) cause to be filed an Exchange Offer Registration Statement on the appropriate form under the Securities Act, as selected by the Company, covering an offer to the Holders to exchange all Registrable Notes for a like aggregate principal amount of Exchange Notes and (y) have such Registration Statement become effective on or before the Target Registration Date, and, if requested by one or more Participating Broker-Dealers, remain effective until 180 days after the last Exchange Date for use by such Participating Broker-Dealers. The Company Parties shall commence the Exchange Offer promptly after (but in no event later than 30 days after) the Exchange Offer Registration Statement is declared effective by the SEC, and use their commercially reasonable efforts to complete the Exchange Offer not later than 60 days after such effective date.</w:t>
      </w:r>
    </w:p>
    <w:p>
      <w:pPr>
        <w:spacing w:after="0" w:line="136" w:lineRule="exact"/>
        <w:rPr>
          <w:sz w:val="20"/>
          <w:szCs w:val="20"/>
          <w:color w:val="auto"/>
        </w:rPr>
      </w:pPr>
    </w:p>
    <w:p>
      <w:pPr>
        <w:ind w:left="340" w:right="599" w:firstLine="916"/>
        <w:spacing w:after="0" w:line="257" w:lineRule="auto"/>
        <w:rPr>
          <w:sz w:val="20"/>
          <w:szCs w:val="20"/>
          <w:color w:val="auto"/>
        </w:rPr>
      </w:pPr>
      <w:r>
        <w:rPr>
          <w:rFonts w:ascii="Times New Roman" w:cs="Times New Roman" w:eastAsia="Times New Roman" w:hAnsi="Times New Roman"/>
          <w:sz w:val="16"/>
          <w:szCs w:val="16"/>
          <w:color w:val="auto"/>
        </w:rPr>
        <w:t>The Company Parties shall commence the Exchange Offer by mailing and/or electronically delivering, or by causing the mailing and/or electronic delivery of, the related Prospectus and other accompanying documents to each Holder stating, in addition to such other disclosures as are required by applicable law, substantially the following:</w:t>
      </w:r>
    </w:p>
    <w:p>
      <w:pPr>
        <w:spacing w:after="0" w:line="123" w:lineRule="exact"/>
        <w:rPr>
          <w:sz w:val="20"/>
          <w:szCs w:val="20"/>
          <w:color w:val="auto"/>
        </w:rPr>
      </w:pPr>
    </w:p>
    <w:p>
      <w:pPr>
        <w:ind w:left="760" w:right="639" w:firstLine="870"/>
        <w:spacing w:after="0" w:line="275" w:lineRule="auto"/>
        <w:rPr>
          <w:sz w:val="20"/>
          <w:szCs w:val="20"/>
          <w:color w:val="auto"/>
        </w:rPr>
      </w:pPr>
      <w:r>
        <w:rPr>
          <w:rFonts w:ascii="Times New Roman" w:cs="Times New Roman" w:eastAsia="Times New Roman" w:hAnsi="Times New Roman"/>
          <w:sz w:val="16"/>
          <w:szCs w:val="16"/>
          <w:color w:val="auto"/>
        </w:rPr>
        <w:t>(i)   that such Exchange Offer is being made pursuant to this Agreement and that all Registrable Notes validly tendered and not properly withdrawn will be accepted for exchange;</w:t>
      </w:r>
    </w:p>
    <w:p>
      <w:pPr>
        <w:spacing w:after="0" w:line="109" w:lineRule="exact"/>
        <w:rPr>
          <w:sz w:val="20"/>
          <w:szCs w:val="20"/>
          <w:color w:val="auto"/>
        </w:rPr>
      </w:pPr>
    </w:p>
    <w:p>
      <w:pPr>
        <w:ind w:left="760" w:right="499" w:firstLine="870"/>
        <w:spacing w:after="0" w:line="275" w:lineRule="auto"/>
        <w:rPr>
          <w:sz w:val="20"/>
          <w:szCs w:val="20"/>
          <w:color w:val="auto"/>
        </w:rPr>
      </w:pPr>
      <w:r>
        <w:rPr>
          <w:rFonts w:ascii="Times New Roman" w:cs="Times New Roman" w:eastAsia="Times New Roman" w:hAnsi="Times New Roman"/>
          <w:sz w:val="16"/>
          <w:szCs w:val="16"/>
          <w:color w:val="auto"/>
        </w:rPr>
        <w:t>(ii)   the dates of acceptance for exchange (which shall be no fewer than 20 Business Days from the date such Prospectus is mailed and/or electronically delivered) (each, an “</w:t>
      </w:r>
      <w:r>
        <w:rPr>
          <w:rFonts w:ascii="Times New Roman" w:cs="Times New Roman" w:eastAsia="Times New Roman" w:hAnsi="Times New Roman"/>
          <w:sz w:val="16"/>
          <w:szCs w:val="16"/>
          <w:b w:val="1"/>
          <w:bCs w:val="1"/>
          <w:color w:val="auto"/>
        </w:rPr>
        <w:t>Exchange Date</w:t>
      </w:r>
      <w:r>
        <w:rPr>
          <w:rFonts w:ascii="Times New Roman" w:cs="Times New Roman" w:eastAsia="Times New Roman" w:hAnsi="Times New Roman"/>
          <w:sz w:val="16"/>
          <w:szCs w:val="16"/>
          <w:color w:val="auto"/>
        </w:rPr>
        <w:t>”);</w:t>
      </w:r>
    </w:p>
    <w:p>
      <w:pPr>
        <w:spacing w:after="0" w:line="109" w:lineRule="exact"/>
        <w:rPr>
          <w:sz w:val="20"/>
          <w:szCs w:val="20"/>
          <w:color w:val="auto"/>
        </w:rPr>
      </w:pPr>
    </w:p>
    <w:p>
      <w:pPr>
        <w:ind w:left="760" w:right="559" w:firstLine="870"/>
        <w:spacing w:after="0" w:line="275" w:lineRule="auto"/>
        <w:rPr>
          <w:sz w:val="20"/>
          <w:szCs w:val="20"/>
          <w:color w:val="auto"/>
        </w:rPr>
      </w:pPr>
      <w:r>
        <w:rPr>
          <w:rFonts w:ascii="Times New Roman" w:cs="Times New Roman" w:eastAsia="Times New Roman" w:hAnsi="Times New Roman"/>
          <w:sz w:val="16"/>
          <w:szCs w:val="16"/>
          <w:color w:val="auto"/>
        </w:rPr>
        <w:t>(iii)   that any Registrable Note not tendered will remain outstanding and continue to accrue interest but will not retain any rights under this Agreement, except as otherwise specified herein;</w:t>
      </w:r>
    </w:p>
    <w:p>
      <w:pPr>
        <w:spacing w:after="0" w:line="109" w:lineRule="exact"/>
        <w:rPr>
          <w:sz w:val="20"/>
          <w:szCs w:val="20"/>
          <w:color w:val="auto"/>
        </w:rPr>
      </w:pPr>
    </w:p>
    <w:p>
      <w:pPr>
        <w:ind w:left="760" w:right="379" w:firstLine="870"/>
        <w:spacing w:after="0" w:line="248" w:lineRule="auto"/>
        <w:rPr>
          <w:sz w:val="20"/>
          <w:szCs w:val="20"/>
          <w:color w:val="auto"/>
        </w:rPr>
      </w:pPr>
      <w:r>
        <w:rPr>
          <w:rFonts w:ascii="Times New Roman" w:cs="Times New Roman" w:eastAsia="Times New Roman" w:hAnsi="Times New Roman"/>
          <w:sz w:val="16"/>
          <w:szCs w:val="16"/>
          <w:color w:val="auto"/>
        </w:rPr>
        <w:t>(iv)   that any Holder electing to have a Registrable Note exchanged pursuant to the Exchange Offer will be required to (A) surrender such Registrable Note to the institution and at the address and in the manner specified in the Prospectus, or (B) effect such exchange otherwise in compliance with the applicable procedures of the depositary for such Registrable Note, in each case prior to the close of business on the last Exchange Date with respect to such Exchange Offer; and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019"/>
          </w:cols>
          <w:pgMar w:left="1440" w:top="231" w:right="1440" w:bottom="1440" w:gutter="0" w:footer="0" w:header="0"/>
        </w:sectPr>
      </w:pPr>
    </w:p>
    <w:bookmarkStart w:id="72" w:name="page73"/>
    <w:bookmarkEnd w:id="72"/>
    <w:p>
      <w:pPr>
        <w:ind w:left="760" w:right="399" w:firstLine="870"/>
        <w:spacing w:after="0" w:line="24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(v)   that any Holder of Registrable Notes will be entitled to withdraw its election, not later than the close of business on the last Exchange Date with respect to the Exchange Offer, by (A) sending to the institution and at the address specified in the Prospectus, a facsimile transmission or letter setting forth the name of such Holder, the principal amount of Registrable Notes delivered for exchange and a statement that such Holder is withdrawing its election to have such Notes exchanged or (B) effecting such withdrawal in compliance with the applicable procedures of the depositary for the Registrable Notes.</w:t>
      </w:r>
    </w:p>
    <w:p>
      <w:pPr>
        <w:spacing w:after="0" w:line="134" w:lineRule="exact"/>
        <w:rPr>
          <w:sz w:val="20"/>
          <w:szCs w:val="20"/>
          <w:color w:val="auto"/>
        </w:rPr>
      </w:pPr>
    </w:p>
    <w:p>
      <w:pPr>
        <w:ind w:left="340" w:right="519" w:firstLine="916"/>
        <w:spacing w:after="0" w:line="244" w:lineRule="auto"/>
        <w:rPr>
          <w:sz w:val="20"/>
          <w:szCs w:val="20"/>
          <w:color w:val="auto"/>
        </w:rPr>
      </w:pPr>
      <w:r>
        <w:rPr>
          <w:rFonts w:ascii="Times New Roman" w:cs="Times New Roman" w:eastAsia="Times New Roman" w:hAnsi="Times New Roman"/>
          <w:sz w:val="16"/>
          <w:szCs w:val="16"/>
          <w:color w:val="auto"/>
        </w:rPr>
        <w:t>As a condition to participating in an Exchange Offer, a Holder will be required to represent to the Company Parties that (1) any Exchange Notes to be received by it will be acquired in the ordinary course of its business, (2) at the time of the commencement of such Exchange Offer it has no arrangement or understanding with any Person to participate in the distribution (within the meaning of the Securities Act) of the Exchange Notes in violation of the provisions of the Securities Act, (3) it is not an “affiliate” (within the meaning of Rule 405 under the Securities Act) of the Company or the Guarantor,</w:t>
      </w:r>
    </w:p>
    <w:p>
      <w:pPr>
        <w:spacing w:after="0" w:line="1" w:lineRule="exact"/>
        <w:rPr>
          <w:sz w:val="20"/>
          <w:szCs w:val="20"/>
          <w:color w:val="auto"/>
        </w:rPr>
      </w:pPr>
    </w:p>
    <w:p>
      <w:pPr>
        <w:ind w:left="340" w:right="359" w:firstLine="1"/>
        <w:spacing w:after="0" w:line="242" w:lineRule="auto"/>
        <w:tabs>
          <w:tab w:leader="none" w:pos="57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such Holder is not a broker-dealer, that it is not engaged in, and does not intend to engage in, the distribution of the Exchange Notes and (5) if such Holder is a broker-dealer that will receive Exchange Notes for its own account in exchange for Registrable Notes that were acquired as a result of market-making or other trading activities, then such Holder will deliver a Prospectus (or, to the extent permitted by law, make available a Prospectus to purchasers) in connection with any resale of such Exchange Notes.</w:t>
      </w:r>
    </w:p>
    <w:p>
      <w:pPr>
        <w:spacing w:after="0" w:line="136" w:lineRule="exact"/>
        <w:rPr>
          <w:sz w:val="20"/>
          <w:szCs w:val="20"/>
          <w:color w:val="auto"/>
        </w:rPr>
      </w:pPr>
    </w:p>
    <w:p>
      <w:pPr>
        <w:ind w:left="340" w:right="419" w:firstLine="916"/>
        <w:spacing w:after="0" w:line="275" w:lineRule="auto"/>
        <w:rPr>
          <w:sz w:val="20"/>
          <w:szCs w:val="20"/>
          <w:color w:val="auto"/>
        </w:rPr>
      </w:pPr>
      <w:r>
        <w:rPr>
          <w:rFonts w:ascii="Times New Roman" w:cs="Times New Roman" w:eastAsia="Times New Roman" w:hAnsi="Times New Roman"/>
          <w:sz w:val="16"/>
          <w:szCs w:val="16"/>
          <w:color w:val="auto"/>
        </w:rPr>
        <w:t>As soon as practicable after the last Exchange Date with respect to an Exchange Offer for Registrable Notes of a series, the Company Parties shall:</w:t>
      </w:r>
    </w:p>
    <w:p>
      <w:pPr>
        <w:spacing w:after="0" w:line="109" w:lineRule="exact"/>
        <w:rPr>
          <w:sz w:val="20"/>
          <w:szCs w:val="20"/>
          <w:color w:val="auto"/>
        </w:rPr>
      </w:pPr>
    </w:p>
    <w:p>
      <w:pPr>
        <w:ind w:left="760" w:right="1039" w:firstLine="870"/>
        <w:spacing w:after="0" w:line="275" w:lineRule="auto"/>
        <w:rPr>
          <w:sz w:val="20"/>
          <w:szCs w:val="20"/>
          <w:color w:val="auto"/>
        </w:rPr>
      </w:pPr>
      <w:r>
        <w:rPr>
          <w:rFonts w:ascii="Times New Roman" w:cs="Times New Roman" w:eastAsia="Times New Roman" w:hAnsi="Times New Roman"/>
          <w:sz w:val="16"/>
          <w:szCs w:val="16"/>
          <w:color w:val="auto"/>
        </w:rPr>
        <w:t>(i)   accept for exchange Registrable Notes or portions thereof validly tendered and not properly withdrawn pursuant to such Exchange Offer; and</w:t>
      </w:r>
    </w:p>
    <w:p>
      <w:pPr>
        <w:spacing w:after="0" w:line="109" w:lineRule="exact"/>
        <w:rPr>
          <w:sz w:val="20"/>
          <w:szCs w:val="20"/>
          <w:color w:val="auto"/>
        </w:rPr>
      </w:pPr>
    </w:p>
    <w:p>
      <w:pPr>
        <w:ind w:left="760" w:right="959" w:firstLine="870"/>
        <w:spacing w:after="0" w:line="275" w:lineRule="auto"/>
        <w:rPr>
          <w:sz w:val="20"/>
          <w:szCs w:val="20"/>
          <w:color w:val="auto"/>
        </w:rPr>
      </w:pPr>
      <w:r>
        <w:rPr>
          <w:rFonts w:ascii="Times New Roman" w:cs="Times New Roman" w:eastAsia="Times New Roman" w:hAnsi="Times New Roman"/>
          <w:sz w:val="16"/>
          <w:szCs w:val="16"/>
          <w:color w:val="auto"/>
        </w:rPr>
        <w:t>(ii)   in cooperation with the Trustee, effect the exchange of Registrable Notes in accordance with applicable book-entry procedures.</w:t>
      </w:r>
    </w:p>
    <w:p>
      <w:pPr>
        <w:spacing w:after="0" w:line="109" w:lineRule="exact"/>
        <w:rPr>
          <w:sz w:val="20"/>
          <w:szCs w:val="20"/>
          <w:color w:val="auto"/>
        </w:rPr>
      </w:pPr>
    </w:p>
    <w:p>
      <w:pPr>
        <w:ind w:left="340" w:right="399" w:firstLine="916"/>
        <w:spacing w:after="0" w:line="246" w:lineRule="auto"/>
        <w:rPr>
          <w:sz w:val="20"/>
          <w:szCs w:val="20"/>
          <w:color w:val="auto"/>
        </w:rPr>
      </w:pPr>
      <w:r>
        <w:rPr>
          <w:rFonts w:ascii="Times New Roman" w:cs="Times New Roman" w:eastAsia="Times New Roman" w:hAnsi="Times New Roman"/>
          <w:sz w:val="16"/>
          <w:szCs w:val="16"/>
          <w:color w:val="auto"/>
        </w:rPr>
        <w:t>The Company Parties shall use commercially reasonable efforts to complete the Exchange Offer as provided above and shall use reasonable best efforts to comply with the applicable requirements of the Securities Act, the Exchange Act and other applicable laws and regulations in connection with the Exchange Offer. The Exchange Offer shall not be subject to any conditions, other than that the Exchange Offer does not violate any applicable law or applicable interpretations of the Staff and customary conditions relating to the delivery of Notes or other actions customarily taken by Holders participating in the Exchange Offer or the execution and delivery of customary documentation relating to the Exchange Offer.</w:t>
      </w:r>
    </w:p>
    <w:p>
      <w:pPr>
        <w:spacing w:after="0" w:line="134" w:lineRule="exact"/>
        <w:rPr>
          <w:sz w:val="20"/>
          <w:szCs w:val="20"/>
          <w:color w:val="auto"/>
        </w:rPr>
      </w:pPr>
    </w:p>
    <w:p>
      <w:pPr>
        <w:jc w:val="both"/>
        <w:ind w:left="340" w:right="399" w:firstLine="916"/>
        <w:spacing w:after="0" w:line="251" w:lineRule="auto"/>
        <w:rPr>
          <w:sz w:val="20"/>
          <w:szCs w:val="20"/>
          <w:color w:val="auto"/>
        </w:rPr>
      </w:pPr>
      <w:r>
        <w:rPr>
          <w:rFonts w:ascii="Times New Roman" w:cs="Times New Roman" w:eastAsia="Times New Roman" w:hAnsi="Times New Roman"/>
          <w:sz w:val="16"/>
          <w:szCs w:val="16"/>
          <w:color w:val="auto"/>
        </w:rPr>
        <w:t>Interest on each Exchange Note will accrue from the last interest payment date on which interest was paid on the Registrable Note surrendered in the Exchange Offer, or if no interest has been paid on the Registrable Note surrendered in the Exchange Offer, from the most recent interest payment date for the relevant security in respect of which such Registrable Note was issued, as listed on Schedule A hereto.</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019"/>
          </w:cols>
          <w:pgMar w:left="1440" w:top="231" w:right="1440" w:bottom="1440" w:gutter="0" w:footer="0" w:header="0"/>
        </w:sectPr>
      </w:pPr>
    </w:p>
    <w:bookmarkStart w:id="73" w:name="page74"/>
    <w:bookmarkEnd w:id="73"/>
    <w:p>
      <w:pPr>
        <w:ind w:left="340" w:right="359" w:firstLine="916"/>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(b)    In the event that the Company Parties determine that the Exchange Offer Registration Statement provided for in Section 2(a) is not available or the Exchange Offer may not be completed as soon as practicable after the last Exchange Date because it would violate any applicable law or applicable interpretations of the Staff, or, if for any reason the Company Parties do not consummate the Exchange Offer by the later of the Target Registration Date and the date the Company receives a written request (a “</w:t>
      </w:r>
      <w:r>
        <w:rPr>
          <w:rFonts w:ascii="Times New Roman" w:cs="Times New Roman" w:eastAsia="Times New Roman" w:hAnsi="Times New Roman"/>
          <w:sz w:val="16"/>
          <w:szCs w:val="16"/>
          <w:b w:val="1"/>
          <w:bCs w:val="1"/>
          <w:color w:val="auto"/>
        </w:rPr>
        <w:t>Shelf Request</w:t>
      </w:r>
      <w:r>
        <w:rPr>
          <w:rFonts w:ascii="Times New Roman" w:cs="Times New Roman" w:eastAsia="Times New Roman" w:hAnsi="Times New Roman"/>
          <w:sz w:val="16"/>
          <w:szCs w:val="16"/>
          <w:color w:val="auto"/>
        </w:rPr>
        <w:t xml:space="preserve">”) from any Holder representing that it holds Registrable Notes that are or were ineligible to be exchanged in the Exchange Offer, the Company Parties shall use their commercially reasonable efforts to cause to be filed and become effective, as soon as practicable after such determination, date or Shelf Request, as the case may be, a Shelf Registration Statement on the appropriate form under the Securities Act, as selected by the Company, providing for the sale of all the Registrable Notes by the Holders thereof and to have such Shelf Registration Statement become effective;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no Holder will be entitled to have any Registrable Notes included in any Shelf Registration Statement, or entitled to use the Prospectus forming a part of such Shelf Registration Statement, until such Holder shall have delivered a completed and signed Notice and Questionnaire and provided such other information regarding such Holder to the Company Parties as is contemplated by Section 3(c) and, if necessary, the Shelf Registration Statement has been amended to reflect such information, and (b) the Company Parties shall be under no obligation to file or cause to become effective any such Shelf Registration Statement before they are obligated to file or cause to become effective an Exchange Offer Registration Statement pursuant to Section 2(a).</w:t>
      </w:r>
    </w:p>
    <w:p>
      <w:pPr>
        <w:spacing w:after="0" w:line="330" w:lineRule="exact"/>
        <w:rPr>
          <w:sz w:val="20"/>
          <w:szCs w:val="20"/>
          <w:color w:val="auto"/>
        </w:rPr>
      </w:pPr>
    </w:p>
    <w:p>
      <w:pPr>
        <w:ind w:left="340" w:right="359" w:firstLine="916"/>
        <w:spacing w:after="0" w:line="243" w:lineRule="auto"/>
        <w:rPr>
          <w:sz w:val="20"/>
          <w:szCs w:val="20"/>
          <w:color w:val="auto"/>
        </w:rPr>
      </w:pPr>
      <w:r>
        <w:rPr>
          <w:rFonts w:ascii="Times New Roman" w:cs="Times New Roman" w:eastAsia="Times New Roman" w:hAnsi="Times New Roman"/>
          <w:sz w:val="16"/>
          <w:szCs w:val="16"/>
          <w:color w:val="auto"/>
        </w:rPr>
        <w:t>The Company Parties agree to use their commercially reasonable efforts to keep the Shelf Registration Statement continuously effective until the date on which the Notes covered thereby cease to be Registrable Notes (the “</w:t>
      </w:r>
      <w:r>
        <w:rPr>
          <w:rFonts w:ascii="Times New Roman" w:cs="Times New Roman" w:eastAsia="Times New Roman" w:hAnsi="Times New Roman"/>
          <w:sz w:val="16"/>
          <w:szCs w:val="16"/>
          <w:b w:val="1"/>
          <w:bCs w:val="1"/>
          <w:color w:val="auto"/>
        </w:rPr>
        <w:t>Shelf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Effectiveness Period</w:t>
      </w:r>
      <w:r>
        <w:rPr>
          <w:rFonts w:ascii="Times New Roman" w:cs="Times New Roman" w:eastAsia="Times New Roman" w:hAnsi="Times New Roman"/>
          <w:sz w:val="16"/>
          <w:szCs w:val="16"/>
          <w:color w:val="auto"/>
        </w:rPr>
        <w:t>”). The Company Parties further agree to use their commercially reasonable efforts to supplement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amend the Shelf Registration Statement, the related Prospectus and any Free Writing Prospectus if required by the rules, regulations or instructions applicable to the registration form used by the Company for such Shelf Registration Statement or by the Securities Act or by any other rules and regulations thereunder or if reasonably requested by a Participating Holder of Registrable Notes with respect to information relating to such Holder, and to use their commercially reasonable efforts to cause any such amendment to become effective, if required, and such Shelf Registration Statement, Prospectus or Free Writing Prospectus, as the case may be, to become usable as soon as thereafter practicable. The Company Parties agree to furnish to the Participating Holders copies of any such supplement or amendment promptly after its being used or filed with the SEC, as reasonably requested by the Participating Holders.</w:t>
      </w:r>
    </w:p>
    <w:p>
      <w:pPr>
        <w:spacing w:after="0" w:line="134" w:lineRule="exact"/>
        <w:rPr>
          <w:sz w:val="20"/>
          <w:szCs w:val="20"/>
          <w:color w:val="auto"/>
        </w:rPr>
      </w:pPr>
    </w:p>
    <w:p>
      <w:pPr>
        <w:ind w:left="340" w:right="419" w:firstLine="916"/>
        <w:spacing w:after="0" w:line="251" w:lineRule="auto"/>
        <w:rPr>
          <w:sz w:val="20"/>
          <w:szCs w:val="20"/>
          <w:color w:val="auto"/>
        </w:rPr>
      </w:pPr>
      <w:r>
        <w:rPr>
          <w:rFonts w:ascii="Times New Roman" w:cs="Times New Roman" w:eastAsia="Times New Roman" w:hAnsi="Times New Roman"/>
          <w:sz w:val="16"/>
          <w:szCs w:val="16"/>
          <w:color w:val="auto"/>
        </w:rPr>
        <w:t>(c)    The Company Parties shall pay all Registration Expenses in connection with any registration pursuant to Section 2(a) or Section 2(b). Each Holder shall pay all underwriting discounts and commissions, brokerage commissions and transfer taxes, if any, relating to the sale or disposition of such Holder’s Registrable Notes pursuant to the Shelf Registration Statement.</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019"/>
          </w:cols>
          <w:pgMar w:left="1440" w:top="231" w:right="1440" w:bottom="1440" w:gutter="0" w:footer="0" w:header="0"/>
        </w:sectPr>
      </w:pPr>
    </w:p>
    <w:bookmarkStart w:id="74" w:name="page75"/>
    <w:bookmarkEnd w:id="74"/>
    <w:p>
      <w:pPr>
        <w:ind w:left="340" w:right="359" w:firstLine="916"/>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(d)    An Exchange Offer Registration Statement pursuant to Section 2(a) will not be deemed to have become effective unless it has been declared effective by the SEC. A Shelf Registration Statement pursuant to Section 2(b) will not be deemed to have become effective unless it has been declared effective by the SEC or is automatically effective upon filing with the SEC as provided by Rule 462 under the Securities Act.</w:t>
      </w:r>
    </w:p>
    <w:p>
      <w:pPr>
        <w:spacing w:after="0" w:line="128" w:lineRule="exact"/>
        <w:rPr>
          <w:sz w:val="20"/>
          <w:szCs w:val="20"/>
          <w:color w:val="auto"/>
        </w:rPr>
      </w:pPr>
    </w:p>
    <w:p>
      <w:pPr>
        <w:ind w:left="340" w:right="399" w:firstLine="916"/>
        <w:spacing w:after="0" w:line="242" w:lineRule="auto"/>
        <w:rPr>
          <w:sz w:val="20"/>
          <w:szCs w:val="20"/>
          <w:color w:val="auto"/>
        </w:rPr>
      </w:pPr>
      <w:r>
        <w:rPr>
          <w:rFonts w:ascii="Times New Roman" w:cs="Times New Roman" w:eastAsia="Times New Roman" w:hAnsi="Times New Roman"/>
          <w:sz w:val="16"/>
          <w:szCs w:val="16"/>
          <w:color w:val="auto"/>
        </w:rPr>
        <w:t xml:space="preserve">If a Registration Default occurs with respect to a series of Registrable Notes, the interest rate on the Registrable Notes (and only the Registrable Notes) of such series will be increased by 0.25% </w:t>
      </w:r>
      <w:r>
        <w:rPr>
          <w:rFonts w:ascii="Times New Roman" w:cs="Times New Roman" w:eastAsia="Times New Roman" w:hAnsi="Times New Roman"/>
          <w:sz w:val="16"/>
          <w:szCs w:val="16"/>
          <w:i w:val="1"/>
          <w:iCs w:val="1"/>
          <w:color w:val="auto"/>
        </w:rPr>
        <w:t>per annum</w:t>
      </w:r>
      <w:r>
        <w:rPr>
          <w:rFonts w:ascii="Times New Roman" w:cs="Times New Roman" w:eastAsia="Times New Roman" w:hAnsi="Times New Roman"/>
          <w:sz w:val="16"/>
          <w:szCs w:val="16"/>
          <w:color w:val="auto"/>
        </w:rPr>
        <w:t xml:space="preserve"> immediately following the occurrence of any Registration Default;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interest shall accrue from and including the date that the applicable Registration Default occurs and is continuing to but excluding the date that such Registration Default ends. A Registration Default ends with respect to any Note when such Note ceases to be a Registrable Note or, if earlier, (1) in the case of a Registration Default under clause (i) or (ii) of the definition thereof, when the Exchange Offer is completed or when the Shelf Registration Statement covering such Registrable Notes becomes effective or (2) in the case of a Registration Default under clause (iii) of the definition thereof, when the Registration Statement again becomes effective or the Prospectus again becomes usable. If at any time more than one Registration Default has occurred and is continuing, then, until the next date that there is no Registration Default, the increase in interest rate provided for by this paragraph shall apply as if there occurred a single Registration Default that begins on the date that the earliest such Registration Default occurred and ends on the next date that there is no Registration Default.</w:t>
      </w:r>
    </w:p>
    <w:p>
      <w:pPr>
        <w:spacing w:after="0" w:line="141" w:lineRule="exact"/>
        <w:rPr>
          <w:sz w:val="20"/>
          <w:szCs w:val="20"/>
          <w:color w:val="auto"/>
        </w:rPr>
      </w:pPr>
    </w:p>
    <w:p>
      <w:pPr>
        <w:ind w:left="340" w:right="379" w:firstLine="916"/>
        <w:spacing w:after="0" w:line="248" w:lineRule="auto"/>
        <w:rPr>
          <w:sz w:val="20"/>
          <w:szCs w:val="20"/>
          <w:color w:val="auto"/>
        </w:rPr>
      </w:pPr>
      <w:r>
        <w:rPr>
          <w:rFonts w:ascii="Times New Roman" w:cs="Times New Roman" w:eastAsia="Times New Roman" w:hAnsi="Times New Roman"/>
          <w:sz w:val="16"/>
          <w:szCs w:val="16"/>
          <w:color w:val="auto"/>
        </w:rPr>
        <w:t>Notwithstanding anything to the contrary in this Agreement, if the Exchange Offer is consummated, any Holder who was, at the time the Exchange Offer was pending and consummated, eligible to exchange and did not validly tender its Registrable Notes in the Exchange Offer, or withdrew its Registrable Notes for Exchange Notes from the Exchange Offer, will not be entitled to receive any additional interest pursuant to the preceding paragraph, and upon the completion of the Exchange Offer, such Notes will no longer constitute Registrable Notes hereunder.</w:t>
      </w:r>
    </w:p>
    <w:p>
      <w:pPr>
        <w:spacing w:after="0" w:line="131" w:lineRule="exact"/>
        <w:rPr>
          <w:sz w:val="20"/>
          <w:szCs w:val="20"/>
          <w:color w:val="auto"/>
        </w:rPr>
      </w:pPr>
    </w:p>
    <w:p>
      <w:pPr>
        <w:ind w:left="340" w:right="399" w:firstLine="916"/>
        <w:spacing w:after="0" w:line="245" w:lineRule="auto"/>
        <w:rPr>
          <w:sz w:val="20"/>
          <w:szCs w:val="20"/>
          <w:color w:val="auto"/>
        </w:rPr>
      </w:pPr>
      <w:r>
        <w:rPr>
          <w:rFonts w:ascii="Times New Roman" w:cs="Times New Roman" w:eastAsia="Times New Roman" w:hAnsi="Times New Roman"/>
          <w:sz w:val="16"/>
          <w:szCs w:val="16"/>
          <w:color w:val="auto"/>
        </w:rPr>
        <w:t>Any amounts of additional interest due under this Section 2(d) will be payable in cash on the regular interest payment dates of the Notes. The additional interest will be determined by multiplying the applicable additional interest rate by the principal amount of the Notes, multiplied by a fraction, the numerator of which is the number of days such additional interest rate was applicable during such period (determined on the basis of a 360-day year composed of twelve 30-day months, but it being understood that if the regular interest payment date of the Notes is not a Business Day and the payment is made on the next succeeding Business Day, no further interest will accrue as a result of such delay), and the denominator of which is 360.</w:t>
      </w:r>
    </w:p>
    <w:p>
      <w:pPr>
        <w:spacing w:after="0" w:line="322" w:lineRule="exact"/>
        <w:rPr>
          <w:sz w:val="20"/>
          <w:szCs w:val="20"/>
          <w:color w:val="auto"/>
        </w:rPr>
      </w:pPr>
    </w:p>
    <w:p>
      <w:pPr>
        <w:ind w:left="340" w:right="579" w:firstLine="916"/>
        <w:spacing w:after="0" w:line="246" w:lineRule="auto"/>
        <w:rPr>
          <w:sz w:val="20"/>
          <w:szCs w:val="20"/>
          <w:color w:val="auto"/>
        </w:rPr>
      </w:pPr>
      <w:r>
        <w:rPr>
          <w:rFonts w:ascii="Times New Roman" w:cs="Times New Roman" w:eastAsia="Times New Roman" w:hAnsi="Times New Roman"/>
          <w:sz w:val="16"/>
          <w:szCs w:val="16"/>
          <w:color w:val="auto"/>
        </w:rPr>
        <w:t>(e)    The Company Parties shall be entitled to suspend their obligation to file any amendment to a Shelf Registration Statement, furnish any supplement or amendment to a Prospectus included in a Shelf Registration Statement or any Free Writing Prospectus, make any other filing with the SEC that would be incorporated by reference into a Shelf Registration Statement, cause a Shelf Registration Statement to remain effective or the Prospectus or any Free Writing Prospectus usable or take any similar action if there is a possible acquisition, disposition or business combination or other transaction, business development or event involving the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019"/>
          </w:cols>
          <w:pgMar w:left="1440" w:top="231" w:right="1440" w:bottom="1440" w:gutter="0" w:footer="0" w:header="0"/>
        </w:sectPr>
      </w:pPr>
    </w:p>
    <w:bookmarkStart w:id="75" w:name="page76"/>
    <w:bookmarkEnd w:id="75"/>
    <w:p>
      <w:pPr>
        <w:ind w:left="340" w:right="399"/>
        <w:spacing w:after="0" w:line="24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Company Parties or their subsidiaries that may require disclosure in the Shelf Registration Statement or Prospectus and the Company Parties determine that such disclosure is not in the best interest of the Company Parties and their stockholders or if obtaining any financial statements relating to any such acquisition or business combination required to be included in the Shelf Registration Statement or Prospectus would be impracticable. Upon the occurrence of any of the conditions described in the foregoing sentence, the Company Parties shall give prompt notice of the delay or suspension (but not the basis thereof) to the Participating Holders. Upon the termination of such condition, the Company Parties shall promptly proceed with all obligations that were delayed or suspended pursuant to this Section 2(e) and, if required, shall give prompt notice to the Participating Holders of the cessation of the delay or suspension (but not the basis thereof).</w:t>
      </w:r>
    </w:p>
    <w:p>
      <w:pPr>
        <w:spacing w:after="0" w:line="136" w:lineRule="exact"/>
        <w:rPr>
          <w:sz w:val="20"/>
          <w:szCs w:val="20"/>
          <w:color w:val="auto"/>
        </w:rPr>
      </w:pPr>
    </w:p>
    <w:p>
      <w:pPr>
        <w:ind w:left="340" w:right="699" w:firstLine="916"/>
        <w:spacing w:after="0" w:line="248" w:lineRule="auto"/>
        <w:rPr>
          <w:sz w:val="20"/>
          <w:szCs w:val="20"/>
          <w:color w:val="auto"/>
        </w:rPr>
      </w:pPr>
      <w:r>
        <w:rPr>
          <w:rFonts w:ascii="Times New Roman" w:cs="Times New Roman" w:eastAsia="Times New Roman" w:hAnsi="Times New Roman"/>
          <w:sz w:val="16"/>
          <w:szCs w:val="16"/>
          <w:color w:val="auto"/>
        </w:rPr>
        <w:t>(f)    Without limiting the remedies available to the Holders, the Company Parties acknowledge that any failure to comply with their obligations under Section 2(a) and Section 2(b) may result in material irreparable injury to the Holders for which there is no adequate remedy at law, that it will not be possible to measure damages for such injuries precisely and that, in the event of any such failure, any Holder may seek to specifically enforce the Company Parties’ obligations under Section 2(a) and Section 2(b).</w:t>
      </w:r>
    </w:p>
    <w:p>
      <w:pPr>
        <w:spacing w:after="0" w:line="127" w:lineRule="exact"/>
        <w:rPr>
          <w:sz w:val="20"/>
          <w:szCs w:val="20"/>
          <w:color w:val="auto"/>
        </w:rPr>
      </w:pPr>
    </w:p>
    <w:p>
      <w:pPr>
        <w:ind w:left="1420" w:hanging="163"/>
        <w:spacing w:after="0"/>
        <w:tabs>
          <w:tab w:leader="none" w:pos="14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Registration Procedures</w:t>
      </w:r>
      <w:r>
        <w:rPr>
          <w:rFonts w:ascii="Times New Roman" w:cs="Times New Roman" w:eastAsia="Times New Roman" w:hAnsi="Times New Roman"/>
          <w:sz w:val="16"/>
          <w:szCs w:val="16"/>
          <w:b w:val="1"/>
          <w:bCs w:val="1"/>
          <w:color w:val="auto"/>
        </w:rPr>
        <w:t>.</w:t>
      </w:r>
    </w:p>
    <w:p>
      <w:pPr>
        <w:spacing w:after="0" w:line="167" w:lineRule="exact"/>
        <w:rPr>
          <w:sz w:val="20"/>
          <w:szCs w:val="20"/>
          <w:color w:val="auto"/>
        </w:rPr>
      </w:pPr>
    </w:p>
    <w:p>
      <w:pPr>
        <w:ind w:left="340" w:right="699" w:firstLine="916"/>
        <w:spacing w:after="0" w:line="275" w:lineRule="auto"/>
        <w:rPr>
          <w:sz w:val="20"/>
          <w:szCs w:val="20"/>
          <w:color w:val="auto"/>
        </w:rPr>
      </w:pPr>
      <w:r>
        <w:rPr>
          <w:rFonts w:ascii="Times New Roman" w:cs="Times New Roman" w:eastAsia="Times New Roman" w:hAnsi="Times New Roman"/>
          <w:sz w:val="16"/>
          <w:szCs w:val="16"/>
          <w:color w:val="auto"/>
        </w:rPr>
        <w:t>(a)    In connection with their obligations pursuant to Sections 2(a) and (b), the Company Parties shall use commercially reasonable efforts to:</w:t>
      </w:r>
    </w:p>
    <w:p>
      <w:pPr>
        <w:spacing w:after="0" w:line="109" w:lineRule="exact"/>
        <w:rPr>
          <w:sz w:val="20"/>
          <w:szCs w:val="20"/>
          <w:color w:val="auto"/>
        </w:rPr>
      </w:pPr>
    </w:p>
    <w:p>
      <w:pPr>
        <w:ind w:left="840" w:right="419" w:firstLine="861"/>
        <w:spacing w:after="0" w:line="246" w:lineRule="auto"/>
        <w:rPr>
          <w:sz w:val="20"/>
          <w:szCs w:val="20"/>
          <w:color w:val="auto"/>
        </w:rPr>
      </w:pPr>
      <w:r>
        <w:rPr>
          <w:rFonts w:ascii="Times New Roman" w:cs="Times New Roman" w:eastAsia="Times New Roman" w:hAnsi="Times New Roman"/>
          <w:sz w:val="16"/>
          <w:szCs w:val="16"/>
          <w:color w:val="auto"/>
        </w:rPr>
        <w:t>(i)    prepare and file with the SEC such amendments and post-effective amendments to each Registration Statement as may be necessary to keep such Registration Statement effective for the applicable period in accordance with Section 2 and cause each Prospectus to be supplemented by any required prospectus supplement and, as so supplemented, to be filed pursuant to Rule 424 under the Securities Act; and keep each Prospectus current during the period described in Section 4(3) of, and Rule 174 under, the Securities Act that is applicable to transactions by brokers or dealers with respect to the Registrable Notes or Exchange Notes;</w:t>
      </w:r>
    </w:p>
    <w:p>
      <w:pPr>
        <w:spacing w:after="0" w:line="134" w:lineRule="exact"/>
        <w:rPr>
          <w:sz w:val="20"/>
          <w:szCs w:val="20"/>
          <w:color w:val="auto"/>
        </w:rPr>
      </w:pPr>
    </w:p>
    <w:p>
      <w:pPr>
        <w:jc w:val="both"/>
        <w:ind w:left="840" w:right="479" w:firstLine="861"/>
        <w:spacing w:after="0" w:line="257" w:lineRule="auto"/>
        <w:rPr>
          <w:sz w:val="20"/>
          <w:szCs w:val="20"/>
          <w:color w:val="auto"/>
        </w:rPr>
      </w:pPr>
      <w:r>
        <w:rPr>
          <w:rFonts w:ascii="Times New Roman" w:cs="Times New Roman" w:eastAsia="Times New Roman" w:hAnsi="Times New Roman"/>
          <w:sz w:val="16"/>
          <w:szCs w:val="16"/>
          <w:color w:val="auto"/>
        </w:rPr>
        <w:t>(ii)    to the extent any Free Writing Prospectus is used, file with the SEC any Free Writing Prospectus that is required to be filed by the Company Parties with the SEC in accordance with the Securities Act and to retain a copy of any Free Writing Prospectus not required to be filed;</w:t>
      </w:r>
    </w:p>
    <w:p>
      <w:pPr>
        <w:spacing w:after="0" w:line="123" w:lineRule="exact"/>
        <w:rPr>
          <w:sz w:val="20"/>
          <w:szCs w:val="20"/>
          <w:color w:val="auto"/>
        </w:rPr>
      </w:pPr>
    </w:p>
    <w:p>
      <w:pPr>
        <w:ind w:left="840" w:right="359" w:firstLine="861"/>
        <w:spacing w:after="0" w:line="245" w:lineRule="auto"/>
        <w:rPr>
          <w:sz w:val="20"/>
          <w:szCs w:val="20"/>
          <w:color w:val="auto"/>
        </w:rPr>
      </w:pPr>
      <w:r>
        <w:rPr>
          <w:rFonts w:ascii="Times New Roman" w:cs="Times New Roman" w:eastAsia="Times New Roman" w:hAnsi="Times New Roman"/>
          <w:sz w:val="16"/>
          <w:szCs w:val="16"/>
          <w:color w:val="auto"/>
        </w:rPr>
        <w:t>(iii)    in the case of a Shelf Registration, furnish to each Participating Holder, to counsel for such Participating Holders and to each Underwriter of an Underwritten Offering of Registrable Notes, if any, without charge, as many copies of each Prospectus, preliminary prospectus or Free Writing Prospectus, and any amendment or supplement thereto (other than any document that amends and supplements any Prospectus, preliminary prospectus or Free Writing Prospectus because it is incorporated by reference therein), as such Participating Holder, counsel or Underwriter may reasonably request in writing in order to facilitate the sale or other disposition of the Registrable Notes thereunder; and, subject to Section 3(d), the Company Parties consent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019"/>
          </w:cols>
          <w:pgMar w:left="1440" w:top="231" w:right="1440" w:bottom="1440" w:gutter="0" w:footer="0" w:header="0"/>
        </w:sectPr>
      </w:pPr>
    </w:p>
    <w:bookmarkStart w:id="76" w:name="page77"/>
    <w:bookmarkEnd w:id="76"/>
    <w:p>
      <w:pPr>
        <w:ind w:left="840" w:right="479"/>
        <w:spacing w:after="0" w:line="24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to the use of such Prospectus, preliminary prospectus or such Free Writing Prospectus and any amendment or supplement thereto in accordance with applicable law by each of the Participating Holders and any such Underwriters in connection with the offering and sale of the Registrable Notes covered by and in the manner described in such Prospectus, preliminary prospectus or such Free Writing Prospectus or any amendment or supplement thereto in accordance with applicable law;</w:t>
      </w:r>
    </w:p>
    <w:p>
      <w:pPr>
        <w:spacing w:after="0" w:line="131" w:lineRule="exact"/>
        <w:rPr>
          <w:sz w:val="20"/>
          <w:szCs w:val="20"/>
          <w:color w:val="auto"/>
        </w:rPr>
      </w:pPr>
    </w:p>
    <w:p>
      <w:pPr>
        <w:ind w:left="840" w:right="399" w:firstLine="861"/>
        <w:spacing w:after="0" w:line="243" w:lineRule="auto"/>
        <w:rPr>
          <w:sz w:val="20"/>
          <w:szCs w:val="20"/>
          <w:color w:val="auto"/>
        </w:rPr>
      </w:pPr>
      <w:r>
        <w:rPr>
          <w:rFonts w:ascii="Times New Roman" w:cs="Times New Roman" w:eastAsia="Times New Roman" w:hAnsi="Times New Roman"/>
          <w:sz w:val="16"/>
          <w:szCs w:val="16"/>
          <w:color w:val="auto"/>
        </w:rPr>
        <w:t xml:space="preserve">(iv)    register or qualify the Registrable Notes under all applicable state securities or blue sky laws of such jurisdictions of the United States as any Participating Holder shall reasonably request in writing by the time the applicable Registration Statement becomes effective; cooperate with such Participating Holders in connection with any filings required to be made with FINRA; and do any and all other acts and things within the Company Parties’ reasonable control that may be reasonably necessary to enable each Participating Holder to remove any legal impediments to completing the disposition in each such jurisdiction of the Registrable Notes owned by such Participating Holder;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neither of the Company Parties shall be required to (1) qualify as a foreign corporation or other entity or as a dealer in securities in any such jurisdiction where it would not otherwise be required to so qualify, (2) execute or file any general consent to service of process in any such jurisdiction or (3) subject itself to taxation or service of process in any such jurisdiction if it is not already so subject;</w:t>
      </w:r>
    </w:p>
    <w:p>
      <w:pPr>
        <w:spacing w:after="0" w:line="137" w:lineRule="exact"/>
        <w:rPr>
          <w:sz w:val="20"/>
          <w:szCs w:val="20"/>
          <w:color w:val="auto"/>
        </w:rPr>
      </w:pPr>
    </w:p>
    <w:p>
      <w:pPr>
        <w:ind w:left="840" w:right="379" w:firstLine="861"/>
        <w:spacing w:after="0" w:line="241" w:lineRule="auto"/>
        <w:rPr>
          <w:sz w:val="20"/>
          <w:szCs w:val="20"/>
          <w:color w:val="auto"/>
        </w:rPr>
      </w:pPr>
      <w:r>
        <w:rPr>
          <w:rFonts w:ascii="Times New Roman" w:cs="Times New Roman" w:eastAsia="Times New Roman" w:hAnsi="Times New Roman"/>
          <w:sz w:val="16"/>
          <w:szCs w:val="16"/>
          <w:color w:val="auto"/>
        </w:rPr>
        <w:t>(v)    notify counsel for the Dealer Managers (it being understood that for purposes of this Agreement, such references to such counsel shall mean counsel on the date of this Agreement unless the Dealer Managers notify the Company in writing otherwise) and, in the case of a Shelf Registration, notify each Participating Holder and counsel for such Participating Holders (it being understood that for purposes of this Agreement, references to such counsel shall only be applicable to the extent that the Company has been provided with contact information for such counsel) promptly and, if requested by any such Participating Holder or counsel, confirm such advice in writing (1) when a Registration Statement has become effective, when any post-effective amendment thereto has been filed and becomes effective, when any Free Writing Prospectus has been filed or any amendment or supplement to the Prospectus or any Free Writing Prospectus has been filed, (2) of the issuance by the SEC or any state securities authority of any stop order suspending the effectiveness of a Registration Statement or the initiation of any proceedings for that purpose, including the receipt by the Company Parties of any notice of objection of the SEC to the use of a Shelf Registration Statement or any post-effective amendment thereto pursuant to Rule 401(g)(2) under the Securities Act, (3) if, between the applicable effective date of a Shelf Registration Statement and the closing of any sale of Registrable Notes covered thereby, the representations and warranties of the Company Parties contained in any underwriting agreement, securities sales agreement or other similar agreement, if any, relating to such offering of such Registrable Notes cease to be true and correct in all material respects or if the Company Parties receive any notification with respect to the suspension of the qualification of the Registrable Notes for sale in any U.S. jurisdiction or the initiation of any proceeding for such purpose, (4) of the happening of any event during the period a Registration Statement is effective that makes any statement made in such Registration Statement or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019"/>
          </w:cols>
          <w:pgMar w:left="1440" w:top="231" w:right="1440" w:bottom="1440" w:gutter="0" w:footer="0" w:header="0"/>
        </w:sectPr>
      </w:pPr>
    </w:p>
    <w:bookmarkStart w:id="77" w:name="page78"/>
    <w:bookmarkEnd w:id="77"/>
    <w:p>
      <w:pPr>
        <w:ind w:left="840" w:right="439"/>
        <w:spacing w:after="0" w:line="24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204075" cy="31750"/>
                    </a:xfrm>
                    <a:prstGeom prst="rect">
                      <a:avLst/>
                    </a:prstGeom>
                    <a:noFill/>
                  </pic:spPr>
                </pic:pic>
              </a:graphicData>
            </a:graphic>
          </wp:anchor>
        </w:drawing>
        <w:t>the related Prospectus or any Free Writing Prospectus untrue in any material respect or that requires the making of any changes in such Registration Statement or Prospectus or any Free Writing Prospectus in order to make the statements therein not misleading and (5) of any determination by the Company Parties that a post-effective amendment to a Registration Statement or any amendment or supplement to the Prospectus or any Free Writing Prospectus would be appropriate;</w:t>
      </w:r>
    </w:p>
    <w:p>
      <w:pPr>
        <w:spacing w:after="0" w:line="131" w:lineRule="exact"/>
        <w:rPr>
          <w:sz w:val="20"/>
          <w:szCs w:val="20"/>
          <w:color w:val="auto"/>
        </w:rPr>
      </w:pPr>
    </w:p>
    <w:p>
      <w:pPr>
        <w:ind w:left="840" w:right="499" w:firstLine="861"/>
        <w:spacing w:after="0" w:line="251" w:lineRule="auto"/>
        <w:rPr>
          <w:sz w:val="20"/>
          <w:szCs w:val="20"/>
          <w:color w:val="auto"/>
        </w:rPr>
      </w:pPr>
      <w:r>
        <w:rPr>
          <w:rFonts w:ascii="Times New Roman" w:cs="Times New Roman" w:eastAsia="Times New Roman" w:hAnsi="Times New Roman"/>
          <w:sz w:val="16"/>
          <w:szCs w:val="16"/>
          <w:color w:val="auto"/>
        </w:rPr>
        <w:t>(vi)    notify counsel for the Dealer Managers or, in the case of a Shelf Registration, notify each Participating Holder and counsel for such Participating Holders, of any request by the SEC or any state securities authority for amendments and supplements to a Registration Statement, Prospectus or any Free Writing Prospectus or for additional information after the Registration Statement has become effective;</w:t>
      </w:r>
    </w:p>
    <w:p>
      <w:pPr>
        <w:spacing w:after="0" w:line="128" w:lineRule="exact"/>
        <w:rPr>
          <w:sz w:val="20"/>
          <w:szCs w:val="20"/>
          <w:color w:val="auto"/>
        </w:rPr>
      </w:pPr>
    </w:p>
    <w:p>
      <w:pPr>
        <w:ind w:left="840" w:right="419" w:firstLine="861"/>
        <w:spacing w:after="0" w:line="248" w:lineRule="auto"/>
        <w:rPr>
          <w:sz w:val="20"/>
          <w:szCs w:val="20"/>
          <w:color w:val="auto"/>
        </w:rPr>
      </w:pPr>
      <w:r>
        <w:rPr>
          <w:rFonts w:ascii="Times New Roman" w:cs="Times New Roman" w:eastAsia="Times New Roman" w:hAnsi="Times New Roman"/>
          <w:sz w:val="16"/>
          <w:szCs w:val="16"/>
          <w:color w:val="auto"/>
        </w:rPr>
        <w:t>(vii)    obtain the withdrawal of any order suspending the effectiveness of a Registration Statement or, in the case of a Shelf Registration, the resolution of any objection of the SEC pursuant to Rule 401(g)(2) under the Securities Act, including by filing an amendment to such Registration Statement on the proper form, as soon as reasonably practicable and provide prompt notice to each Holder or Participating Holder of the withdrawal of any such order or such resolution;</w:t>
      </w:r>
    </w:p>
    <w:p>
      <w:pPr>
        <w:spacing w:after="0" w:line="131" w:lineRule="exact"/>
        <w:rPr>
          <w:sz w:val="20"/>
          <w:szCs w:val="20"/>
          <w:color w:val="auto"/>
        </w:rPr>
      </w:pPr>
    </w:p>
    <w:p>
      <w:pPr>
        <w:ind w:left="840" w:right="439" w:firstLine="861"/>
        <w:spacing w:after="0" w:line="251" w:lineRule="auto"/>
        <w:rPr>
          <w:sz w:val="20"/>
          <w:szCs w:val="20"/>
          <w:color w:val="auto"/>
        </w:rPr>
      </w:pPr>
      <w:r>
        <w:rPr>
          <w:rFonts w:ascii="Times New Roman" w:cs="Times New Roman" w:eastAsia="Times New Roman" w:hAnsi="Times New Roman"/>
          <w:sz w:val="16"/>
          <w:szCs w:val="16"/>
          <w:color w:val="auto"/>
        </w:rPr>
        <w:t>(viii)    in the case of a Shelf Registration, furnish to each Participating Holder, without charge, upon written request, at least one conformed copy of each Registration Statement and any post-effective amendment thereto (without any documents incorporated therein by reference or exhibits thereto, unless requested), if such documents are not available via EDGAR;</w:t>
      </w:r>
    </w:p>
    <w:p>
      <w:pPr>
        <w:spacing w:after="0" w:line="128" w:lineRule="exact"/>
        <w:rPr>
          <w:sz w:val="20"/>
          <w:szCs w:val="20"/>
          <w:color w:val="auto"/>
        </w:rPr>
      </w:pPr>
    </w:p>
    <w:p>
      <w:pPr>
        <w:ind w:left="840" w:right="359" w:firstLine="861"/>
        <w:spacing w:after="0" w:line="248" w:lineRule="auto"/>
        <w:rPr>
          <w:sz w:val="20"/>
          <w:szCs w:val="20"/>
          <w:color w:val="auto"/>
        </w:rPr>
      </w:pPr>
      <w:r>
        <w:rPr>
          <w:rFonts w:ascii="Times New Roman" w:cs="Times New Roman" w:eastAsia="Times New Roman" w:hAnsi="Times New Roman"/>
          <w:sz w:val="16"/>
          <w:szCs w:val="16"/>
          <w:color w:val="auto"/>
        </w:rPr>
        <w:t>(ix)    in the case of a Shelf Registration, cooperate with the Participating Holders to facilitate the timely preparation and delivery of certificates representing Registrable Notes to be sold and not bearing any restrictive legends and enable such Registrable Notes to be issued in such denominations and, in the case of certificated securities, registered in such names (consistent with the provisions of the Indenture) as such Participating Holders may reasonably request at least one Business Day prior to the closing of any sale of Registrable Notes;</w:t>
      </w:r>
    </w:p>
    <w:p>
      <w:pPr>
        <w:spacing w:after="0" w:line="131" w:lineRule="exact"/>
        <w:rPr>
          <w:sz w:val="20"/>
          <w:szCs w:val="20"/>
          <w:color w:val="auto"/>
        </w:rPr>
      </w:pPr>
    </w:p>
    <w:p>
      <w:pPr>
        <w:ind w:left="840" w:right="359" w:firstLine="861"/>
        <w:spacing w:after="0" w:line="243" w:lineRule="auto"/>
        <w:rPr>
          <w:sz w:val="20"/>
          <w:szCs w:val="20"/>
          <w:color w:val="auto"/>
        </w:rPr>
      </w:pPr>
      <w:r>
        <w:rPr>
          <w:rFonts w:ascii="Times New Roman" w:cs="Times New Roman" w:eastAsia="Times New Roman" w:hAnsi="Times New Roman"/>
          <w:sz w:val="16"/>
          <w:szCs w:val="16"/>
          <w:color w:val="auto"/>
        </w:rPr>
        <w:t>(x)    upon the occurrence of any event contemplated by Section 3(a)(v)(4), prepare and file with the SEC a supplement or post-effective amendment to the applicable Exchange Offer Registration Statement or Shelf Registration Statement or the related Prospectus or any Free Writing Prospectus or any document incorporated therein by reference or file any other required document so that, as thereafter delivered (or, to the extent permitted by law, made available) to purchasers of the Registrable Notes, such Exchange Offer Registration Statement, Shelf Registration Statement, related Prospectus or Free Writing Prospectus, as the case may be, will not contain any untrue statement of a material fact or omit to state a material fact necessary to make the statements therein, in the light of the circumstances under which they were made, not misleading; and the Company Parties shall notify the Participating Holders (in the case of a Shelf Registration Statement) and the Dealer Managers and any Participating Broker-Dealers known to the Company Parties (in the case of an Exchange</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019"/>
          </w:cols>
          <w:pgMar w:left="1440" w:top="231" w:right="1440" w:bottom="1440" w:gutter="0" w:footer="0" w:header="0"/>
        </w:sectPr>
      </w:pPr>
    </w:p>
    <w:bookmarkStart w:id="78" w:name="page79"/>
    <w:bookmarkEnd w:id="78"/>
    <w:p>
      <w:pPr>
        <w:ind w:left="840" w:right="539"/>
        <w:spacing w:after="0" w:line="24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 xml:space="preserve">Offer Registration Statement) to suspend use of the Prospectus or any Free Writing Prospectus as promptly as practicable after the occurrence of such an event, and such Participating Holders, the Dealer Managers and such Participating Broker-Dealers, as applicable, hereby agree to suspend use of the Prospectus or any Free Writing Prospectus, as the case may be, until the Company Parties have amended or supplemented the Prospectus or the Free Writing Prospectus, as the case may be, to correct such misstatement or omission;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Company Parties shall not be required to take any action pursuant to this Section 3(a)(x) during any suspension period pursuant to Sections 2(e) or 3(d);</w:t>
      </w:r>
    </w:p>
    <w:p>
      <w:pPr>
        <w:spacing w:after="0" w:line="134" w:lineRule="exact"/>
        <w:rPr>
          <w:sz w:val="20"/>
          <w:szCs w:val="20"/>
          <w:color w:val="auto"/>
        </w:rPr>
      </w:pPr>
    </w:p>
    <w:p>
      <w:pPr>
        <w:ind w:left="840" w:right="399" w:firstLine="861"/>
        <w:spacing w:after="0" w:line="242" w:lineRule="auto"/>
        <w:rPr>
          <w:sz w:val="20"/>
          <w:szCs w:val="20"/>
          <w:color w:val="auto"/>
        </w:rPr>
      </w:pPr>
      <w:r>
        <w:rPr>
          <w:rFonts w:ascii="Times New Roman" w:cs="Times New Roman" w:eastAsia="Times New Roman" w:hAnsi="Times New Roman"/>
          <w:sz w:val="16"/>
          <w:szCs w:val="16"/>
          <w:color w:val="auto"/>
        </w:rPr>
        <w:t>(xi)    a reasonable time prior to the filing of any Registration Statement, any Prospectus, any Free Writing Prospectus, any amendment to a Registration Statement or amendment or supplement to a Prospectus or a Free Writing Prospectus, provide copies of such document to the Dealer Managers and their counsel (and, in the case of a Shelf Registration Statement, to the Participating Holders and their counsel) and make such of the representatives of the Company Parties as shall be reasonably requested by the Dealer Managers or their counsel (and, in the case of a Shelf Registration Statement, the Participating Holders or their counsel) available for discussion of such document at reasonable times and upon reasonable notice; and the Company Parties shall not, at any time after initial filing of a Registration Statement, use or file any Prospectus, any Free Writing Prospectus, any amendment of or supplement to a Registration Statement or a Prospectus or a Free Writing Prospectus, of which the Dealer Managers and their counsel (and, in the case of a Shelf Registration Statement, the Participating Holders and their counsel) shall not have previously been advised and furnished a copy or to which the Dealer Managers or their counsel (and, in the case of a Shelf Registration Statement, the Participating Holders or their counsel) shall reasonably object in writing within two Business Days after the receipt thereof, unless the Company Parties believe that use or filing of such Prospectus, Free Writing Prospectus, or any amendment of or supplement thereto is required by applicable law;</w:t>
      </w:r>
    </w:p>
    <w:p>
      <w:pPr>
        <w:spacing w:after="0" w:line="137" w:lineRule="exact"/>
        <w:rPr>
          <w:sz w:val="20"/>
          <w:szCs w:val="20"/>
          <w:color w:val="auto"/>
        </w:rPr>
      </w:pPr>
    </w:p>
    <w:p>
      <w:pPr>
        <w:jc w:val="both"/>
        <w:ind w:left="840" w:right="699" w:firstLine="861"/>
        <w:spacing w:after="0" w:line="257" w:lineRule="auto"/>
        <w:rPr>
          <w:sz w:val="20"/>
          <w:szCs w:val="20"/>
          <w:color w:val="auto"/>
        </w:rPr>
      </w:pPr>
      <w:r>
        <w:rPr>
          <w:rFonts w:ascii="Times New Roman" w:cs="Times New Roman" w:eastAsia="Times New Roman" w:hAnsi="Times New Roman"/>
          <w:sz w:val="16"/>
          <w:szCs w:val="16"/>
          <w:color w:val="auto"/>
        </w:rPr>
        <w:t>(xii)    obtain a CUSIP number for each series of Exchange Notes (or of Registrable Notes of each series that are registered on a Shelf Registration Statement) not later than the initial effective date of a Registration Statement;</w:t>
      </w:r>
    </w:p>
    <w:p>
      <w:pPr>
        <w:spacing w:after="0" w:line="123" w:lineRule="exact"/>
        <w:rPr>
          <w:sz w:val="20"/>
          <w:szCs w:val="20"/>
          <w:color w:val="auto"/>
        </w:rPr>
      </w:pPr>
    </w:p>
    <w:p>
      <w:pPr>
        <w:ind w:left="840" w:right="579" w:firstLine="861"/>
        <w:spacing w:after="0" w:line="246" w:lineRule="auto"/>
        <w:rPr>
          <w:sz w:val="20"/>
          <w:szCs w:val="20"/>
          <w:color w:val="auto"/>
        </w:rPr>
      </w:pPr>
      <w:r>
        <w:rPr>
          <w:rFonts w:ascii="Times New Roman" w:cs="Times New Roman" w:eastAsia="Times New Roman" w:hAnsi="Times New Roman"/>
          <w:sz w:val="16"/>
          <w:szCs w:val="16"/>
          <w:color w:val="auto"/>
        </w:rPr>
        <w:t>(xiii)    cause the Indenture to be qualified under the Trust Indenture Act in connection with the registration of the Exchange Notes or Registrable Notes, as the case may be; cooperate with the Trustee and the Holders to effect such changes to the Indenture as may be required for the Indenture to be so qualified in accordance with the terms of the Trust Indenture Act; and execute, and cause the Trustee to execute, all documents as may be required to effect such changes and all other forms and documents required to be filed with the SEC to enable the Indenture to be so qualified in a timely manner;</w:t>
      </w:r>
    </w:p>
    <w:p>
      <w:pPr>
        <w:spacing w:after="0" w:line="134" w:lineRule="exact"/>
        <w:rPr>
          <w:sz w:val="20"/>
          <w:szCs w:val="20"/>
          <w:color w:val="auto"/>
        </w:rPr>
      </w:pPr>
    </w:p>
    <w:p>
      <w:pPr>
        <w:ind w:left="840" w:right="519" w:firstLine="861"/>
        <w:spacing w:after="0" w:line="251" w:lineRule="auto"/>
        <w:rPr>
          <w:sz w:val="20"/>
          <w:szCs w:val="20"/>
          <w:color w:val="auto"/>
        </w:rPr>
      </w:pPr>
      <w:r>
        <w:rPr>
          <w:rFonts w:ascii="Times New Roman" w:cs="Times New Roman" w:eastAsia="Times New Roman" w:hAnsi="Times New Roman"/>
          <w:sz w:val="16"/>
          <w:szCs w:val="16"/>
          <w:color w:val="auto"/>
        </w:rPr>
        <w:t>(xiv)    in the case of a Shelf Registration, cause all Registrable Notes to be listed on any securities exchange or any automated quotation system on which other securities issued by the Company and guaranteed by the Guarantor under the Indenture are then listed if requested by a majority of the aggregate principal amount of the Holders of such Registrable Notes, to the extent such Registrable Notes satisfy applicable listing requirements;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019"/>
          </w:cols>
          <w:pgMar w:left="1440" w:top="231" w:right="1440" w:bottom="1440" w:gutter="0" w:footer="0" w:header="0"/>
        </w:sectPr>
      </w:pPr>
    </w:p>
    <w:bookmarkStart w:id="79" w:name="page80"/>
    <w:bookmarkEnd w:id="79"/>
    <w:p>
      <w:pPr>
        <w:ind w:left="760" w:right="399" w:firstLine="949"/>
        <w:spacing w:after="0" w:line="24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(xv)  in the case of a Shelf Registration, make available for inspection by a representative of the Participating Holders (an “</w:t>
      </w:r>
      <w:r>
        <w:rPr>
          <w:rFonts w:ascii="Times New Roman" w:cs="Times New Roman" w:eastAsia="Times New Roman" w:hAnsi="Times New Roman"/>
          <w:sz w:val="16"/>
          <w:szCs w:val="16"/>
          <w:b w:val="1"/>
          <w:bCs w:val="1"/>
          <w:color w:val="auto"/>
        </w:rPr>
        <w:t>Inspector</w:t>
      </w:r>
      <w:r>
        <w:rPr>
          <w:rFonts w:ascii="Times New Roman" w:cs="Times New Roman" w:eastAsia="Times New Roman" w:hAnsi="Times New Roman"/>
          <w:sz w:val="16"/>
          <w:szCs w:val="16"/>
          <w:color w:val="auto"/>
        </w:rPr>
        <w:t>”) and any Underwriters participating in the applicable disposition pursuant to such Shelf Registration Statement, one firm of attorneys and one firm of accountants designated by a majority in aggregate principal amount of the Registrable Notes held by the Participating Holders and one firm of attorneys and one firm of accountants designated by such Underwriters, at reasonable times and in a reasonable manner, all pertinent financial and other records, documents and properties of the Company Parties and their subsidiaries reasonably requested by any such Inspector, Underwriter, attorney or accountant, and cause the respective officers, directors and employees of the Company Parties to supply all information reasonably requested by any such Inspector, Underwriter, attorney or accountant in connection with customary due diligence related to the offering and sale of Registrable Notes under a Shelf Registration Statement, subject to such parties conducting such investigation entering into confidentiality agreements as the Company Parties may reasonably require and to any applicable privilege or pre-existing contractual confidentiality obligations;</w:t>
      </w:r>
    </w:p>
    <w:p>
      <w:pPr>
        <w:spacing w:after="0" w:line="326" w:lineRule="exact"/>
        <w:rPr>
          <w:sz w:val="20"/>
          <w:szCs w:val="20"/>
          <w:color w:val="auto"/>
        </w:rPr>
      </w:pPr>
    </w:p>
    <w:p>
      <w:pPr>
        <w:ind w:left="760" w:right="459" w:firstLine="949"/>
        <w:spacing w:after="0" w:line="245" w:lineRule="auto"/>
        <w:rPr>
          <w:sz w:val="20"/>
          <w:szCs w:val="20"/>
          <w:color w:val="auto"/>
        </w:rPr>
      </w:pPr>
      <w:r>
        <w:rPr>
          <w:rFonts w:ascii="Times New Roman" w:cs="Times New Roman" w:eastAsia="Times New Roman" w:hAnsi="Times New Roman"/>
          <w:sz w:val="16"/>
          <w:szCs w:val="16"/>
          <w:color w:val="auto"/>
        </w:rPr>
        <w:t>(xvi)  if reasonably requested by any Participating Holder, promptly include or incorporate by reference in a Prospectus supplement or post-effective amendment such information with respect to such Participating Holder as such Participating Holder reasonably requests to be included therein, based upon a reasonable belief that such information is required to be included therein or is necessary to make the information about such Participating Holder not misleading, and make all required filings of such Prospectus supplement or such post-effective amendment as soon as reasonably practicable after the Company Parties have received notification of the matters to be so included in such filing; and</w:t>
      </w:r>
    </w:p>
    <w:p>
      <w:pPr>
        <w:spacing w:after="0" w:line="322" w:lineRule="exact"/>
        <w:rPr>
          <w:sz w:val="20"/>
          <w:szCs w:val="20"/>
          <w:color w:val="auto"/>
        </w:rPr>
      </w:pPr>
    </w:p>
    <w:p>
      <w:pPr>
        <w:ind w:left="760" w:right="439" w:firstLine="949"/>
        <w:spacing w:after="0" w:line="241" w:lineRule="auto"/>
        <w:rPr>
          <w:sz w:val="20"/>
          <w:szCs w:val="20"/>
          <w:color w:val="auto"/>
        </w:rPr>
      </w:pPr>
      <w:r>
        <w:rPr>
          <w:rFonts w:ascii="Times New Roman" w:cs="Times New Roman" w:eastAsia="Times New Roman" w:hAnsi="Times New Roman"/>
          <w:sz w:val="16"/>
          <w:szCs w:val="16"/>
          <w:color w:val="auto"/>
        </w:rPr>
        <w:t>(xvii)  in the case of a Shelf Registration, enter into such customary agreements and take all such other customary actions in connection therewith (including those reasonably requested by the Participating Holders of a majority in principal amount of the Registrable Notes covered by the Shelf Registration Statement) in order to expedite or facilitate the disposition of such Registrable Notes including, but not limited to, in connection with an Underwritten Offering, (1) to the extent possible, making such representations and warranties to the Participating Holders and any Underwriters of such Registrable Notes with respect to the business of the Company Parties and their subsidiaries and the Registration Statement, Prospectus, any Free Writing Prospectus and documents incorporated by reference or deemed incorporated by reference, if any, in each case, in form, substance and scope as are customarily made by issuers and guarantors, as applicable, to underwriters in underwritten offerings and consistent with the applicable representations and warranties in the Dealer Manager Agreement and confirm the same if and when requested,</w:t>
      </w:r>
    </w:p>
    <w:p>
      <w:pPr>
        <w:spacing w:after="0" w:line="7" w:lineRule="exact"/>
        <w:rPr>
          <w:sz w:val="20"/>
          <w:szCs w:val="20"/>
          <w:color w:val="auto"/>
        </w:rPr>
      </w:pPr>
    </w:p>
    <w:p>
      <w:pPr>
        <w:ind w:left="760" w:right="539" w:hanging="3"/>
        <w:spacing w:after="0" w:line="243" w:lineRule="auto"/>
        <w:tabs>
          <w:tab w:leader="none" w:pos="991"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opinions of counsel to the Company Parties (which counsel and opinions, in form, scope and substance, shall be reasonably satisfactory to the Participating Holders and such Underwriters and their respective counsel) addressed to the Underwriters of Registrable Notes, covering the matters customarily covered in opinions requested in underwritten offerings and consistent with the opinions delivered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019"/>
          </w:cols>
          <w:pgMar w:left="1440" w:top="231" w:right="1440" w:bottom="1440" w:gutter="0" w:footer="0" w:header="0"/>
        </w:sectPr>
      </w:pPr>
    </w:p>
    <w:bookmarkStart w:id="80" w:name="page81"/>
    <w:bookmarkEnd w:id="80"/>
    <w:p>
      <w:pPr>
        <w:ind w:left="760" w:right="379"/>
        <w:spacing w:after="0" w:line="24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204075" cy="31750"/>
                    </a:xfrm>
                    <a:prstGeom prst="rect">
                      <a:avLst/>
                    </a:prstGeom>
                    <a:noFill/>
                  </pic:spPr>
                </pic:pic>
              </a:graphicData>
            </a:graphic>
          </wp:anchor>
        </w:drawing>
        <w:t xml:space="preserve">pursuant to the Dealer Manager Agreement, as modified for a registered offering,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required by the Underwriters, counsel for the Participating Holders shall provide an opinion to the Underwriters covering the matters customarily covered in opinions requested from selling securityholders by underwriters in underwritten offerings, in connection with an Underwritten Offering, (3) in connection with an Underwritten Offering, obtain “comfort” letters from the independent registered public accountants of the Company Parties (and, if necessary, any other registered public accountant of any subsidiary of the Company Parties, or of any business acquired by the Company Parties for which financial statements and financial data are or are required to be included in the Registration Statement) addressed to the Underwriters of Registrable Notes, such letters to be in customary form and covering matters of the type customarily covered in “comfort” letters in connection with underwritten offerings, including but not limited to financial information contained in any preliminary prospectus, Prospectus or Free Writing Prospectus and (4) in connection with an Underwritten Offering, deliver such documents and certificates as may be reasonably requested by the Underwriters, and which are customarily delivered in underwritten offerings, to evidence the continued validity of the representations and warranties made pursuant to clause (1) above and to evidence compliance with any customary conditions contained in an underwriting agreement.</w:t>
      </w:r>
    </w:p>
    <w:p>
      <w:pPr>
        <w:spacing w:after="0" w:line="139" w:lineRule="exact"/>
        <w:rPr>
          <w:sz w:val="20"/>
          <w:szCs w:val="20"/>
          <w:color w:val="auto"/>
        </w:rPr>
      </w:pPr>
    </w:p>
    <w:p>
      <w:pPr>
        <w:ind w:left="340" w:right="559" w:firstLine="916"/>
        <w:spacing w:after="0" w:line="275" w:lineRule="auto"/>
        <w:rPr>
          <w:sz w:val="20"/>
          <w:szCs w:val="20"/>
          <w:color w:val="auto"/>
        </w:rPr>
      </w:pPr>
      <w:r>
        <w:rPr>
          <w:rFonts w:ascii="Times New Roman" w:cs="Times New Roman" w:eastAsia="Times New Roman" w:hAnsi="Times New Roman"/>
          <w:sz w:val="16"/>
          <w:szCs w:val="16"/>
          <w:color w:val="auto"/>
        </w:rPr>
        <w:t>(b)  The Company Parties will comply in all material respects with all rules and regulations of the SEC to the extent and so long as they are applicable to the Exchange Offer or the Shelf Registration.</w:t>
      </w:r>
    </w:p>
    <w:p>
      <w:pPr>
        <w:spacing w:after="0" w:line="109" w:lineRule="exact"/>
        <w:rPr>
          <w:sz w:val="20"/>
          <w:szCs w:val="20"/>
          <w:color w:val="auto"/>
        </w:rPr>
      </w:pPr>
    </w:p>
    <w:p>
      <w:pPr>
        <w:ind w:left="340" w:right="439" w:firstLine="916"/>
        <w:spacing w:after="0" w:line="243" w:lineRule="auto"/>
        <w:rPr>
          <w:sz w:val="20"/>
          <w:szCs w:val="20"/>
          <w:color w:val="auto"/>
        </w:rPr>
      </w:pPr>
      <w:r>
        <w:rPr>
          <w:rFonts w:ascii="Times New Roman" w:cs="Times New Roman" w:eastAsia="Times New Roman" w:hAnsi="Times New Roman"/>
          <w:sz w:val="16"/>
          <w:szCs w:val="16"/>
          <w:color w:val="auto"/>
        </w:rPr>
        <w:t>(c)  In the case of a Shelf Registration Statement, the Company Parties may require, as a condition to including such Holder’s Registrable Notes in such Shelf Registration Statement, each Holder of Registrable Notes to furnish to the Company Parties a Notice and Questionnaire and such other information regarding such Holder and the proposed disposition by such Holder of such Registrable Notes and other documentation necessary to effectuate the proposed disposition as the Company Parties may from time to time reasonably request in writing and require such Holder to agree in writing to be bound by all provisions of this Agreement applicable to such Holder. Each Holder of Registrable Notes as to which any Shelf Registration is being effected agrees to furnish promptly to the Company Parties all information required to be disclosed so that the information previously furnished to the Company Parties by such Holder is not materially misleading and does not omit to state any material fact required to be stated therein or necessary to make the statements therein not misleading in the light of the circumstances under which they were made.</w:t>
      </w:r>
    </w:p>
    <w:p>
      <w:pPr>
        <w:spacing w:after="0" w:line="137" w:lineRule="exact"/>
        <w:rPr>
          <w:sz w:val="20"/>
          <w:szCs w:val="20"/>
          <w:color w:val="auto"/>
        </w:rPr>
      </w:pPr>
    </w:p>
    <w:p>
      <w:pPr>
        <w:ind w:left="340" w:right="399" w:firstLine="916"/>
        <w:spacing w:after="0" w:line="245" w:lineRule="auto"/>
        <w:rPr>
          <w:sz w:val="20"/>
          <w:szCs w:val="20"/>
          <w:color w:val="auto"/>
        </w:rPr>
      </w:pPr>
      <w:r>
        <w:rPr>
          <w:rFonts w:ascii="Times New Roman" w:cs="Times New Roman" w:eastAsia="Times New Roman" w:hAnsi="Times New Roman"/>
          <w:sz w:val="16"/>
          <w:szCs w:val="16"/>
          <w:color w:val="auto"/>
        </w:rPr>
        <w:t>(d)  Each Participating Holder agrees that, upon receipt of any notice from the Company Parties of the happening of any event of the kind described in Section 3(a)(v)(2), such Participating Holder will forthwith discontinue disposition of Registrable Notes pursuant to the Shelf Registration Statement until it receives notice from the Company Parties of the cessation of any event of the kind described in Section 3(a)(v)(2), and upon receipt of any notice from the Company Parties of the happening of any event of the kind described in Section 3(a)(v)(4), such Participating Holder will forthwith discontinue disposition of Registrable Notes pursuant to the Shelf Registration Statement until it receives the copies of the supplemented or amended Prospectus and any Free Writing Prospectus contemplated by Section 3(a)(x) and, if so directed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019"/>
          </w:cols>
          <w:pgMar w:left="1440" w:top="229" w:right="1440" w:bottom="1440" w:gutter="0" w:footer="0" w:header="0"/>
        </w:sectPr>
      </w:pPr>
    </w:p>
    <w:bookmarkStart w:id="81" w:name="page82"/>
    <w:bookmarkEnd w:id="81"/>
    <w:p>
      <w:pPr>
        <w:ind w:left="340" w:right="499"/>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204075" cy="31750"/>
                    </a:xfrm>
                    <a:prstGeom prst="rect">
                      <a:avLst/>
                    </a:prstGeom>
                    <a:noFill/>
                  </pic:spPr>
                </pic:pic>
              </a:graphicData>
            </a:graphic>
          </wp:anchor>
        </w:drawing>
        <w:t>by the Company Parties, such Participating Holder will deliver to the Company Parties all copies in its possession, other than permanent file copies then in such Participating Holder’s possession, of the Prospectus and any Free Writing Prospectus covering such Registrable Notes that is current at the time of receipt of such notice.</w:t>
      </w:r>
    </w:p>
    <w:p>
      <w:pPr>
        <w:spacing w:after="0" w:line="123" w:lineRule="exact"/>
        <w:rPr>
          <w:sz w:val="20"/>
          <w:szCs w:val="20"/>
          <w:color w:val="auto"/>
        </w:rPr>
      </w:pPr>
    </w:p>
    <w:p>
      <w:pPr>
        <w:ind w:left="340" w:right="359" w:firstLine="916"/>
        <w:spacing w:after="0" w:line="244" w:lineRule="auto"/>
        <w:rPr>
          <w:sz w:val="20"/>
          <w:szCs w:val="20"/>
          <w:color w:val="auto"/>
        </w:rPr>
      </w:pPr>
      <w:r>
        <w:rPr>
          <w:rFonts w:ascii="Times New Roman" w:cs="Times New Roman" w:eastAsia="Times New Roman" w:hAnsi="Times New Roman"/>
          <w:sz w:val="16"/>
          <w:szCs w:val="16"/>
          <w:color w:val="auto"/>
        </w:rPr>
        <w:t>(e)    If the Company Parties shall give any notice to suspend the disposition of Registrable Notes pursuant to a Registration Statement, the Company Parties shall not be required to maintain the effectiveness thereof during the period of such suspension, and the Company Parties shall extend the period during which such Registration Statement shall be maintained effective pursuant to this Agreement by the number of days during the period from and including the date of the giving of such notice to and including the date when the Holders of such Registrable Notes shall have received copies of the supplemented or amended Prospectus or any Free Writing Prospectus necessary to resume such dispositions or notice that such amendment or supplement is not necessary; provided that no such extension shall be made in the case where such suspension is solely a result of the Company Parties’ compliance with Section 3(c) or any other suspension at the request of a Holder.</w:t>
      </w:r>
    </w:p>
    <w:p>
      <w:pPr>
        <w:spacing w:after="0" w:line="136" w:lineRule="exact"/>
        <w:rPr>
          <w:sz w:val="20"/>
          <w:szCs w:val="20"/>
          <w:color w:val="auto"/>
        </w:rPr>
      </w:pPr>
    </w:p>
    <w:p>
      <w:pPr>
        <w:ind w:left="340" w:right="419" w:firstLine="916"/>
        <w:spacing w:after="0" w:line="245" w:lineRule="auto"/>
        <w:rPr>
          <w:sz w:val="20"/>
          <w:szCs w:val="20"/>
          <w:color w:val="auto"/>
        </w:rPr>
      </w:pPr>
      <w:r>
        <w:rPr>
          <w:rFonts w:ascii="Times New Roman" w:cs="Times New Roman" w:eastAsia="Times New Roman" w:hAnsi="Times New Roman"/>
          <w:sz w:val="16"/>
          <w:szCs w:val="16"/>
          <w:color w:val="auto"/>
        </w:rPr>
        <w:t>(f)    The Participating Holders who desire to do so may sell such Registrable Notes in an Underwritten Offering. In any such Underwritten Offering, the investment bank or investment banks and manager or managers (each an “</w:t>
      </w:r>
      <w:r>
        <w:rPr>
          <w:rFonts w:ascii="Times New Roman" w:cs="Times New Roman" w:eastAsia="Times New Roman" w:hAnsi="Times New Roman"/>
          <w:sz w:val="16"/>
          <w:szCs w:val="16"/>
          <w:b w:val="1"/>
          <w:bCs w:val="1"/>
          <w:color w:val="auto"/>
        </w:rPr>
        <w:t>Underwriter</w:t>
      </w:r>
      <w:r>
        <w:rPr>
          <w:rFonts w:ascii="Times New Roman" w:cs="Times New Roman" w:eastAsia="Times New Roman" w:hAnsi="Times New Roman"/>
          <w:sz w:val="16"/>
          <w:szCs w:val="16"/>
          <w:color w:val="auto"/>
        </w:rPr>
        <w:t>”) that will administer the offering will be selected by the Holders of a majority in principal amount of the Registrable Notes included in such offering, subject in each case to consent by the Guarantor (which shall not be unreasonably withheld or delayed so long as such bank or manager is internationally recognized as an underwriter of debt securities offerings). All fees, costs and expenses of the Underwriters, except for Registration Expenses, shall be borne solely by the Participating Holders.</w:t>
      </w:r>
    </w:p>
    <w:p>
      <w:pPr>
        <w:spacing w:after="0" w:line="134" w:lineRule="exact"/>
        <w:rPr>
          <w:sz w:val="20"/>
          <w:szCs w:val="20"/>
          <w:color w:val="auto"/>
        </w:rPr>
      </w:pPr>
    </w:p>
    <w:p>
      <w:pPr>
        <w:ind w:left="340" w:right="439" w:firstLine="916"/>
        <w:spacing w:after="0" w:line="249" w:lineRule="auto"/>
        <w:rPr>
          <w:sz w:val="20"/>
          <w:szCs w:val="20"/>
          <w:color w:val="auto"/>
        </w:rPr>
      </w:pPr>
      <w:r>
        <w:rPr>
          <w:rFonts w:ascii="Times New Roman" w:cs="Times New Roman" w:eastAsia="Times New Roman" w:hAnsi="Times New Roman"/>
          <w:sz w:val="16"/>
          <w:szCs w:val="16"/>
          <w:color w:val="auto"/>
        </w:rPr>
        <w:t>(g)    No Holder of Registrable Notes may participate in any Underwritten Offering hereunder unless such Holder (i) agrees to sell such Holder’s Registrable Notes on the basis provided in any underwriting arrangements approved by the Persons entitled hereunder to approve such arrangements and (ii) completes and executes all questionnaires, powers of attorney, indemnities, underwriting agreements and other documents required under the terms of such underwriting arrangements.</w:t>
      </w:r>
    </w:p>
    <w:p>
      <w:pPr>
        <w:spacing w:after="0" w:line="308" w:lineRule="exact"/>
        <w:rPr>
          <w:sz w:val="20"/>
          <w:szCs w:val="20"/>
          <w:color w:val="auto"/>
        </w:rPr>
      </w:pPr>
    </w:p>
    <w:tbl>
      <w:tblPr>
        <w:tblLayout w:type="fixed"/>
        <w:tblInd w:w="1260" w:type="dxa"/>
        <w:tblCellMar>
          <w:top w:w="0" w:type="dxa"/>
          <w:left w:w="0" w:type="dxa"/>
          <w:bottom w:w="0" w:type="dxa"/>
          <w:right w:w="0" w:type="dxa"/>
        </w:tblCellMar>
      </w:tblPr>
      <w:tr>
        <w:trPr>
          <w:trHeight w:val="184"/>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85"/>
              </w:rPr>
              <w:t>4. </w:t>
            </w:r>
          </w:p>
        </w:tc>
        <w:tc>
          <w:tcPr>
            <w:tcW w:w="70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Participation of Broker-Dealers in Exchange Offer</w:t>
            </w:r>
            <w:r>
              <w:rPr>
                <w:rFonts w:ascii="Times New Roman" w:cs="Times New Roman" w:eastAsia="Times New Roman" w:hAnsi="Times New Roman"/>
                <w:sz w:val="16"/>
                <w:szCs w:val="16"/>
                <w:color w:val="auto"/>
              </w:rPr>
              <w:t>.</w:t>
            </w: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355"/>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 </w:t>
            </w:r>
          </w:p>
        </w:tc>
        <w:tc>
          <w:tcPr>
            <w:tcW w:w="70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   The Staff has taken the position that any broker-dealer that receives Exchange Notes for its own account</w:t>
            </w:r>
          </w:p>
        </w:tc>
      </w:tr>
    </w:tbl>
    <w:p>
      <w:pPr>
        <w:ind w:left="340" w:right="559"/>
        <w:spacing w:after="0" w:line="243" w:lineRule="auto"/>
        <w:rPr>
          <w:sz w:val="20"/>
          <w:szCs w:val="20"/>
          <w:color w:val="auto"/>
        </w:rPr>
      </w:pPr>
      <w:r>
        <w:rPr>
          <w:rFonts w:ascii="Times New Roman" w:cs="Times New Roman" w:eastAsia="Times New Roman" w:hAnsi="Times New Roman"/>
          <w:sz w:val="16"/>
          <w:szCs w:val="16"/>
          <w:color w:val="auto"/>
        </w:rPr>
        <w:t>in an Exchange Offer in exchange for Notes that were acquired by such broker-dealer as a result of market-making or other trading activities (a “</w:t>
      </w:r>
      <w:r>
        <w:rPr>
          <w:rFonts w:ascii="Times New Roman" w:cs="Times New Roman" w:eastAsia="Times New Roman" w:hAnsi="Times New Roman"/>
          <w:sz w:val="16"/>
          <w:szCs w:val="16"/>
          <w:b w:val="1"/>
          <w:bCs w:val="1"/>
          <w:color w:val="auto"/>
        </w:rPr>
        <w:t>Participating Broker-Dealer</w:t>
      </w:r>
      <w:r>
        <w:rPr>
          <w:rFonts w:ascii="Times New Roman" w:cs="Times New Roman" w:eastAsia="Times New Roman" w:hAnsi="Times New Roman"/>
          <w:sz w:val="16"/>
          <w:szCs w:val="16"/>
          <w:color w:val="auto"/>
        </w:rPr>
        <w:t>”) may be deemed to be an “underwriter” within the meaning of the Securities Act and must deliver a prospectus meeting the requirements of the Securities Act in connection with any resale of such Exchange Notes.</w:t>
      </w:r>
    </w:p>
    <w:p>
      <w:pPr>
        <w:spacing w:after="0" w:line="135" w:lineRule="exact"/>
        <w:rPr>
          <w:sz w:val="20"/>
          <w:szCs w:val="20"/>
          <w:color w:val="auto"/>
        </w:rPr>
      </w:pPr>
    </w:p>
    <w:p>
      <w:pPr>
        <w:ind w:left="340" w:right="419" w:firstLine="916"/>
        <w:spacing w:after="0" w:line="257" w:lineRule="auto"/>
        <w:rPr>
          <w:sz w:val="20"/>
          <w:szCs w:val="20"/>
          <w:color w:val="auto"/>
        </w:rPr>
      </w:pPr>
      <w:r>
        <w:rPr>
          <w:rFonts w:ascii="Times New Roman" w:cs="Times New Roman" w:eastAsia="Times New Roman" w:hAnsi="Times New Roman"/>
          <w:sz w:val="16"/>
          <w:szCs w:val="16"/>
          <w:color w:val="auto"/>
        </w:rPr>
        <w:t>The Company Parties understand that it is the Staff’s position that if the Prospectus contained in an Exchange Offer Registration Statement includes a plan of distribution containing a statement to the above effect and the means by which Participating Broker-Dealers may resell the Exchange Notes, without naming the Participating Broker-Dealers or specifying</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9019"/>
          </w:cols>
          <w:pgMar w:left="1440" w:top="231" w:right="1440" w:bottom="1440" w:gutter="0" w:footer="0" w:header="0"/>
        </w:sectPr>
      </w:pPr>
    </w:p>
    <w:bookmarkStart w:id="82" w:name="page83"/>
    <w:bookmarkEnd w:id="82"/>
    <w:p>
      <w:pPr>
        <w:ind w:left="340" w:right="519"/>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204075" cy="31750"/>
                    </a:xfrm>
                    <a:prstGeom prst="rect">
                      <a:avLst/>
                    </a:prstGeom>
                    <a:noFill/>
                  </pic:spPr>
                </pic:pic>
              </a:graphicData>
            </a:graphic>
          </wp:anchor>
        </w:drawing>
        <w:t>the amount of Exchange Notes owned by them, such Prospectus may be delivered by Participating Broker-Dealers (or, to the extent permitted by law, made available to purchasers) to satisfy their prospectus delivery obligation under the Securities Act in connection with resales of Exchange Notes for their own accounts, so long as the Prospectus otherwise meets the requirements of the Securities Act.</w:t>
      </w:r>
    </w:p>
    <w:p>
      <w:pPr>
        <w:spacing w:after="0" w:line="128" w:lineRule="exact"/>
        <w:rPr>
          <w:sz w:val="20"/>
          <w:szCs w:val="20"/>
          <w:color w:val="auto"/>
        </w:rPr>
      </w:pPr>
    </w:p>
    <w:p>
      <w:pPr>
        <w:ind w:left="340" w:right="479" w:firstLine="916"/>
        <w:spacing w:after="0" w:line="245" w:lineRule="auto"/>
        <w:rPr>
          <w:sz w:val="20"/>
          <w:szCs w:val="20"/>
          <w:color w:val="auto"/>
        </w:rPr>
      </w:pPr>
      <w:r>
        <w:rPr>
          <w:rFonts w:ascii="Times New Roman" w:cs="Times New Roman" w:eastAsia="Times New Roman" w:hAnsi="Times New Roman"/>
          <w:sz w:val="16"/>
          <w:szCs w:val="16"/>
          <w:color w:val="auto"/>
        </w:rPr>
        <w:t>(b)    In light of the above, and notwithstanding the other provisions of this Agreement, the Company Parties agree to amend or supplement the Prospectus contained in the Exchange Offer Registration Statement for a period of up to 180 days after the last Exchange Date (as such period may be extended pursuant to Section 3(e)), if requested by one or more Participating Broker-Dealers, in order to expedite or facilitate the disposition of any Exchange Notes by Participating Broker-Dealers consistent with the positions of the Staff recited in Section 4(a). The Company Parties further agree that, subject to Section 3(c), Participating Broker-Dealers shall be authorized to deliver such Prospectus (or, to the extent permitted by law, make available) during such period in connection with the resales contemplated by this Section 4.</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118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 xml:space="preserve">(c) </w:t>
            </w:r>
          </w:p>
        </w:tc>
        <w:tc>
          <w:tcPr>
            <w:tcW w:w="71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   The Dealer Managers shall have no liability to the Company Parties or any Holder with respect to any</w:t>
            </w:r>
          </w:p>
        </w:tc>
      </w:tr>
      <w:tr>
        <w:trPr>
          <w:trHeight w:val="211"/>
        </w:trPr>
        <w:tc>
          <w:tcPr>
            <w:tcW w:w="83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request that such Dealer Managers may make pursuant to Section 4(b).</w:t>
            </w:r>
          </w:p>
        </w:tc>
      </w:tr>
      <w:tr>
        <w:trPr>
          <w:trHeight w:val="309"/>
        </w:trPr>
        <w:tc>
          <w:tcPr>
            <w:tcW w:w="1180" w:type="dxa"/>
            <w:vAlign w:val="bottom"/>
          </w:tcPr>
          <w:p>
            <w:pPr>
              <w:ind w:left="920"/>
              <w:spacing w:after="0"/>
              <w:rPr>
                <w:sz w:val="20"/>
                <w:szCs w:val="20"/>
                <w:color w:val="auto"/>
              </w:rPr>
            </w:pPr>
            <w:r>
              <w:rPr>
                <w:rFonts w:ascii="Times New Roman" w:cs="Times New Roman" w:eastAsia="Times New Roman" w:hAnsi="Times New Roman"/>
                <w:sz w:val="16"/>
                <w:szCs w:val="16"/>
                <w:color w:val="auto"/>
                <w:w w:val="85"/>
              </w:rPr>
              <w:t>5. </w:t>
            </w:r>
          </w:p>
        </w:tc>
        <w:tc>
          <w:tcPr>
            <w:tcW w:w="71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Indemnification and Contribution</w:t>
            </w:r>
            <w:r>
              <w:rPr>
                <w:rFonts w:ascii="Times New Roman" w:cs="Times New Roman" w:eastAsia="Times New Roman" w:hAnsi="Times New Roman"/>
                <w:sz w:val="16"/>
                <w:szCs w:val="16"/>
                <w:color w:val="auto"/>
              </w:rPr>
              <w:t>.</w:t>
            </w:r>
          </w:p>
        </w:tc>
      </w:tr>
      <w:tr>
        <w:trPr>
          <w:trHeight w:val="20"/>
        </w:trPr>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355"/>
        </w:trPr>
        <w:tc>
          <w:tcPr>
            <w:tcW w:w="118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 xml:space="preserve">(a) </w:t>
            </w:r>
          </w:p>
        </w:tc>
        <w:tc>
          <w:tcPr>
            <w:tcW w:w="71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   The Company Parties will, jointly and severally, indemnify and hold harmless the Dealer Managers, each</w:t>
            </w:r>
          </w:p>
        </w:tc>
      </w:tr>
    </w:tbl>
    <w:p>
      <w:pPr>
        <w:ind w:left="340" w:right="359"/>
        <w:spacing w:after="0"/>
        <w:rPr>
          <w:sz w:val="20"/>
          <w:szCs w:val="20"/>
          <w:color w:val="auto"/>
        </w:rPr>
      </w:pPr>
      <w:r>
        <w:rPr>
          <w:rFonts w:ascii="Times New Roman" w:cs="Times New Roman" w:eastAsia="Times New Roman" w:hAnsi="Times New Roman"/>
          <w:sz w:val="16"/>
          <w:szCs w:val="16"/>
          <w:color w:val="auto"/>
        </w:rPr>
        <w:t>Holder, their respective directors, officers and employees, each person, if any, who controls any Dealer Manager or any Holder within the meaning of either Section 15 of the Securities Act or Section 20 of the Exchange Act, and each affiliate of any Dealer Manager within the meaning of Rule 405 under the Securities Act from and against any and all losses, claims, damages and liabilities, joint or several, to which such Dealer Manager, Holder, director, officer, employee, controlling person or affiliate may become subject under the Securities Act or otherwise, insofar as such losses, claims, damages or liabilities (or actions in respect thereof) arise out of or are based upon an untrue statement or alleged untrue statement of a material fact contained in any Registration Statement, any Prospectus as amended or supplemented, any Free Writing Prospectus or any “issuer information” (“</w:t>
      </w:r>
      <w:r>
        <w:rPr>
          <w:rFonts w:ascii="Times New Roman" w:cs="Times New Roman" w:eastAsia="Times New Roman" w:hAnsi="Times New Roman"/>
          <w:sz w:val="16"/>
          <w:szCs w:val="16"/>
          <w:b w:val="1"/>
          <w:bCs w:val="1"/>
          <w:color w:val="auto"/>
        </w:rPr>
        <w:t>Issuer Information</w:t>
      </w:r>
      <w:r>
        <w:rPr>
          <w:rFonts w:ascii="Times New Roman" w:cs="Times New Roman" w:eastAsia="Times New Roman" w:hAnsi="Times New Roman"/>
          <w:sz w:val="16"/>
          <w:szCs w:val="16"/>
          <w:color w:val="auto"/>
        </w:rPr>
        <w:t xml:space="preserve">”) filed or required to be filed pursuant to Rule 433(d) under the Securities Act, or arise out of or are based upon the omission or alleged omission to state therein a material fact necessary in order to make the statements therein in the light of the circumstances under which they were made not misleading, and will reimburse each such Dealer Manager, Holder, director, officer, employee, controlling person or affiliate for any legal or other out-of-pocket expenses reasonably incurred by such Dealer Manager, Holder, director, officer, employee, controlling person or affiliate in connection with investigating or defending any such loss, damage, liability, action or claim as such expenses are incurred;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the Company Parties shall not be liable in any such case to the extent that any such loss, claim, damage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liability arises out of or is based upon an untrue statement or alleged untrue statement or omission or alleged omission made in any Registration Statement, any Prospectus as amended or supplemented, any Free Writing Prospectus or any Issuer Information in reliance upon and in conformity with information relating to any Dealer Manager or any Holder furnished to the Company Parties in writing by such Dealer Manager or by such Holder expressly for use therein.</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9019"/>
          </w:cols>
          <w:pgMar w:left="1440" w:top="231" w:right="1440" w:bottom="1440" w:gutter="0" w:footer="0" w:header="0"/>
        </w:sectPr>
      </w:pPr>
    </w:p>
    <w:bookmarkStart w:id="83" w:name="page84"/>
    <w:bookmarkEnd w:id="83"/>
    <w:p>
      <w:pPr>
        <w:ind w:left="340" w:right="359" w:firstLine="916"/>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204075" cy="31750"/>
                    </a:xfrm>
                    <a:prstGeom prst="rect">
                      <a:avLst/>
                    </a:prstGeom>
                    <a:noFill/>
                  </pic:spPr>
                </pic:pic>
              </a:graphicData>
            </a:graphic>
          </wp:anchor>
        </w:drawing>
        <w:t>(b)    Each Holder will, severally and not jointly, indemnify and hold harmless the Company Parties, the Dealer Managers and the selling Holders, the directors, officers and employees of the Company Parties and any Dealer Manager, each Person, if any, who controls the Company Parties, any Dealer Manager and any selling Holder (within the meaning of Section 15 of the Securities Act or Section 20 of the Exchange Act) and each affiliate of any Dealer Manager within the meaning of Rule 405 under the Securities Act against any losses, claims, damages or liabilities to which the Company Parties, or such Dealer Manager or selling Holder, director, officer, employee, controlling person or affiliate may become subject, under the Securities Act or otherwise, insofar as such losses, claims, damages or liabilities (or actions in respect thereof) that arise out of or are based upon any untrue statement or alleged untrue statement of a material fact contained in any Registration Statement, any Prospectus as amended or supplemented or any Free Writing Prospectus, or arise out of or are based upon the omission or alleged omission to state therein a material fact necessary in order to make the statements therein not misleading, in each case to the extent, but only to the extent, that such untrue statement or alleged untrue statement or omission or alleged omission was made in any Registration Statement, any Prospectus as amended or supplemented or any Free Writing Prospectus in reliance upon and in conformity with written information relating to such Holder furnished to the Company Parties by such Holder; and each Holder will reimburse the Company Parties, and such Dealer Manager, selling Holder, director, officer, employee, controlling person and affiliate for any legal or other out-of-pocket expenses reasonably incurred by such Person or Persons in connection with investigating, or defending any such loss, damage, liability, action or claim as such expenses are incurred, but only with reference to information relating to such Holder furnished to the Company Parties in writing by such Holder expressly for use in any Registration Statement, any Prospectus or any Free Writing Prospectus.</w:t>
      </w:r>
    </w:p>
    <w:p>
      <w:pPr>
        <w:spacing w:after="0" w:line="327" w:lineRule="exact"/>
        <w:rPr>
          <w:sz w:val="20"/>
          <w:szCs w:val="20"/>
          <w:color w:val="auto"/>
        </w:rPr>
      </w:pPr>
    </w:p>
    <w:p>
      <w:pPr>
        <w:ind w:left="340" w:right="379" w:firstLine="916"/>
        <w:spacing w:after="0" w:line="242" w:lineRule="auto"/>
        <w:rPr>
          <w:sz w:val="20"/>
          <w:szCs w:val="20"/>
          <w:color w:val="auto"/>
        </w:rPr>
      </w:pPr>
      <w:r>
        <w:rPr>
          <w:rFonts w:ascii="Times New Roman" w:cs="Times New Roman" w:eastAsia="Times New Roman" w:hAnsi="Times New Roman"/>
          <w:sz w:val="16"/>
          <w:szCs w:val="16"/>
          <w:color w:val="auto"/>
        </w:rPr>
        <w:t>(c)    Promptly after receipt by an indemnified party under subsection (a) or (b) of this Section 5 of notice of the commencement of any action, such indemnified party shall, if a claim in respect thereof is to be made against the indemnifying party under such subsection, notify the indemnifying party in writing of the commencement thereof; but the omission to so notify the indemnifying party shall not relieve it from any liability which it may have to any indemnified party except to the extent such omission materially prejudices the indemnifying party. In case any such action shall be brought against any indemnified party, the indemnifying party shall be entitled to participate therein and, to the extent that it shall wish, jointly with any other indemnifying party similarly notified,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and shall not be liable for any settlement of any proceeding effected without its written consent, such consent not to be unreasonably withheld, delayed or conditioned.</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9019"/>
          </w:cols>
          <w:pgMar w:left="1440" w:top="231" w:right="1440" w:bottom="1440" w:gutter="0" w:footer="0" w:header="0"/>
        </w:sectPr>
      </w:pPr>
    </w:p>
    <w:bookmarkStart w:id="84" w:name="page85"/>
    <w:bookmarkEnd w:id="84"/>
    <w:p>
      <w:pPr>
        <w:ind w:left="340" w:right="359" w:firstLine="916"/>
        <w:spacing w:after="0" w:line="24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204075" cy="31750"/>
                    </a:xfrm>
                    <a:prstGeom prst="rect">
                      <a:avLst/>
                    </a:prstGeom>
                    <a:noFill/>
                  </pic:spPr>
                </pic:pic>
              </a:graphicData>
            </a:graphic>
          </wp:anchor>
        </w:drawing>
        <w:t>(d)    To the extent the indemnification provided for in subsection (a) or (b) of this Section 5 is unavailable to an indemnified party or insufficient in respect of any losses, claims, damages or liabilities referred to therein (or actions in respect thereof), then each indemnifying party under such paragraph, in lieu of indemnifying such indemnified party thereunder, shall contribute to the amount paid or payable by such indemnified party as a result of such losses, claims, damages or liabilities in such proportion as is appropriate to reflect the relative benefits received by the Company Parties from the offering of the Notes or Exchange Notes, on the one hand, and the Holders from receiving Notes or Exchange Notes registered under the Securities Act, on the other. If, however, the allocation provided by the immediately preceding sentence is not permitted by applicable law, then each indemnifying party shall contribute to such amount paid or payable by such indemnified party in such proportion as is appropriate to reflect not only the relative benefits but also the relative fault of the Company Parties on the one hand and the Holders on the other in connection with the statements or omissions which resulted in such losses, claims, damages or liabilities (or actions in respect thereof), as well as any other relevant equitable considerations. The relative fault of the Company Parties on the one hand and the Holders on the other shall be determined by reference to, among other things, whether the untrue or alleged untrue statement of a material fact or the omission or alleged omission to state a material fact relates to information supplied by the Company Parties on the one hand or such Holder on the other and the parties’ relative intent, knowledge, access to information and opportunity to correct or prevent such statement or omission.</w:t>
      </w:r>
    </w:p>
    <w:p>
      <w:pPr>
        <w:spacing w:after="0" w:line="135" w:lineRule="exact"/>
        <w:rPr>
          <w:sz w:val="20"/>
          <w:szCs w:val="20"/>
          <w:color w:val="auto"/>
        </w:rPr>
      </w:pPr>
    </w:p>
    <w:p>
      <w:pPr>
        <w:ind w:left="340" w:right="359" w:firstLine="916"/>
        <w:spacing w:after="0" w:line="242" w:lineRule="auto"/>
        <w:rPr>
          <w:sz w:val="20"/>
          <w:szCs w:val="20"/>
          <w:color w:val="auto"/>
        </w:rPr>
      </w:pPr>
      <w:r>
        <w:rPr>
          <w:rFonts w:ascii="Times New Roman" w:cs="Times New Roman" w:eastAsia="Times New Roman" w:hAnsi="Times New Roman"/>
          <w:sz w:val="16"/>
          <w:szCs w:val="16"/>
          <w:color w:val="auto"/>
        </w:rPr>
        <w:t xml:space="preserve">(e)    The Company Parties and the Holders agree that it would not be just or equitable if contribution pursuant to this Section 5 were determined by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allocation (even if the Holders were treated as one entity for such purpose) or by any other method of allocation that does not take account of the equitable considerations referred to in Section 5(d). The amount paid or payable by an indemnified party as a result of the losses, claims, damages and liabilities referred to in Section 5(d) shall be deemed to include, subject to the limitations set forth above, any legal or other expenses reasonably incurred by such indemnified party in connection with investigating or defending any such action or claim. Notwithstanding the provisions of this Section 5, no Holder shall be required to contribute any amount in excess of the amount by which the total price at which the Notes or Exchange Notes sold by such Holder exceeds the amount of any damages that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Holders’ obligations to contribute pursuant to this Section 5 are several and not joint.</w:t>
      </w:r>
    </w:p>
    <w:p>
      <w:pPr>
        <w:spacing w:after="0" w:line="141" w:lineRule="exact"/>
        <w:rPr>
          <w:sz w:val="20"/>
          <w:szCs w:val="20"/>
          <w:color w:val="auto"/>
        </w:rPr>
      </w:pPr>
    </w:p>
    <w:p>
      <w:pPr>
        <w:ind w:left="340" w:right="579" w:firstLine="916"/>
        <w:spacing w:after="0" w:line="275" w:lineRule="auto"/>
        <w:rPr>
          <w:sz w:val="20"/>
          <w:szCs w:val="20"/>
          <w:color w:val="auto"/>
        </w:rPr>
      </w:pPr>
      <w:r>
        <w:rPr>
          <w:rFonts w:ascii="Times New Roman" w:cs="Times New Roman" w:eastAsia="Times New Roman" w:hAnsi="Times New Roman"/>
          <w:sz w:val="16"/>
          <w:szCs w:val="16"/>
          <w:color w:val="auto"/>
        </w:rPr>
        <w:t>(f)    The remedies provided for in this Section 5 are not exclusive and shall not limit any rights or remedies that may otherwise be available to any indemnified party at law or in equity.</w:t>
      </w:r>
    </w:p>
    <w:p>
      <w:pPr>
        <w:spacing w:after="0" w:line="109" w:lineRule="exact"/>
        <w:rPr>
          <w:sz w:val="20"/>
          <w:szCs w:val="20"/>
          <w:color w:val="auto"/>
        </w:rPr>
      </w:pPr>
    </w:p>
    <w:p>
      <w:pPr>
        <w:jc w:val="both"/>
        <w:ind w:left="340" w:right="479" w:firstLine="916"/>
        <w:spacing w:after="0" w:line="257" w:lineRule="auto"/>
        <w:rPr>
          <w:sz w:val="20"/>
          <w:szCs w:val="20"/>
          <w:color w:val="auto"/>
        </w:rPr>
      </w:pPr>
      <w:r>
        <w:rPr>
          <w:rFonts w:ascii="Times New Roman" w:cs="Times New Roman" w:eastAsia="Times New Roman" w:hAnsi="Times New Roman"/>
          <w:sz w:val="16"/>
          <w:szCs w:val="16"/>
          <w:color w:val="auto"/>
        </w:rPr>
        <w:t>(g)    The indemnity and contribution provisions contained in this Section 5 shall remain operative and in full force and effect regardless of (i) any termination of this Agreement, (ii) any investigation made by or on behalf of the Dealer Managers, any Holder, any Person controlling any Dealer Manager or any Holder or any affiliate of any Dealer Manager, or</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9019"/>
          </w:cols>
          <w:pgMar w:left="1440" w:top="231" w:right="1440" w:bottom="1440" w:gutter="0" w:footer="0" w:header="0"/>
        </w:sectPr>
      </w:pPr>
    </w:p>
    <w:bookmarkStart w:id="85" w:name="page86"/>
    <w:bookmarkEnd w:id="85"/>
    <w:p>
      <w:pPr>
        <w:jc w:val="both"/>
        <w:ind w:left="340" w:right="699"/>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by or on behalf of the Company Parties, their officers or directors or any Person controlling the Company Parties, (iii) any acceptance of any of the Exchange Notes in the Exchange Offer and (iv) any sale of Registrable Notes pursuant to a Shelf Registration Statement.</w:t>
      </w:r>
    </w:p>
    <w:p>
      <w:pPr>
        <w:spacing w:after="0" w:line="119" w:lineRule="exact"/>
        <w:rPr>
          <w:sz w:val="20"/>
          <w:szCs w:val="20"/>
          <w:color w:val="auto"/>
        </w:rPr>
      </w:pPr>
    </w:p>
    <w:p>
      <w:pPr>
        <w:ind w:left="1420" w:hanging="163"/>
        <w:spacing w:after="0"/>
        <w:tabs>
          <w:tab w:leader="none" w:pos="14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General</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340" w:right="439" w:firstLine="916"/>
        <w:spacing w:after="0" w:line="258" w:lineRule="auto"/>
        <w:rPr>
          <w:sz w:val="20"/>
          <w:szCs w:val="20"/>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6"/>
          <w:szCs w:val="16"/>
          <w:i w:val="1"/>
          <w:iCs w:val="1"/>
          <w:color w:val="auto"/>
        </w:rPr>
        <w:t>No Inconsistent Agreements.</w:t>
      </w:r>
      <w:r>
        <w:rPr>
          <w:rFonts w:ascii="Times New Roman" w:cs="Times New Roman" w:eastAsia="Times New Roman" w:hAnsi="Times New Roman"/>
          <w:sz w:val="16"/>
          <w:szCs w:val="16"/>
          <w:color w:val="auto"/>
        </w:rPr>
        <w:t xml:space="preserve"> Each of the Company Parties represents, warrants and agrees that it has not entered into, and on or after the date of this Agreement will not enter into, any agreement that is inconsistent with the rights granted to the Holders of Registrable Notes in this Agreement or otherwise conflicts with the provisions hereof.</w:t>
      </w:r>
    </w:p>
    <w:p>
      <w:pPr>
        <w:spacing w:after="0" w:line="121" w:lineRule="exact"/>
        <w:rPr>
          <w:sz w:val="20"/>
          <w:szCs w:val="20"/>
          <w:color w:val="auto"/>
        </w:rPr>
      </w:pPr>
    </w:p>
    <w:p>
      <w:pPr>
        <w:ind w:left="340" w:right="399" w:firstLine="916"/>
        <w:spacing w:after="0" w:line="242" w:lineRule="auto"/>
        <w:rPr>
          <w:sz w:val="20"/>
          <w:szCs w:val="20"/>
          <w:color w:val="auto"/>
        </w:rPr>
      </w:pPr>
      <w:r>
        <w:rPr>
          <w:rFonts w:ascii="Times New Roman" w:cs="Times New Roman" w:eastAsia="Times New Roman" w:hAnsi="Times New Roman"/>
          <w:sz w:val="16"/>
          <w:szCs w:val="16"/>
          <w:color w:val="auto"/>
        </w:rPr>
        <w:t xml:space="preserve">(b)    </w:t>
      </w:r>
      <w:r>
        <w:rPr>
          <w:rFonts w:ascii="Times New Roman" w:cs="Times New Roman" w:eastAsia="Times New Roman" w:hAnsi="Times New Roman"/>
          <w:sz w:val="16"/>
          <w:szCs w:val="16"/>
          <w:i w:val="1"/>
          <w:iCs w:val="1"/>
          <w:color w:val="auto"/>
        </w:rPr>
        <w:t>Amendments and Waivers.</w:t>
      </w:r>
      <w:r>
        <w:rPr>
          <w:rFonts w:ascii="Times New Roman" w:cs="Times New Roman" w:eastAsia="Times New Roman" w:hAnsi="Times New Roman"/>
          <w:sz w:val="16"/>
          <w:szCs w:val="16"/>
          <w:color w:val="auto"/>
        </w:rPr>
        <w:t xml:space="preserve"> The provisions of this Agreement, including the provisions of this sentence, may not be amended, modified or supplemented, and waivers or consents to departures from the provisions hereof may not be given unless the Company Parties have obtained the written consent of Holders of at least a majority in aggregate principal amount of the outstanding Registrable Notes affected by such amendment, modification, supplement, waiver or consent;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no amendment, modification, supplement, waiver or consent to any departure from the provisions of Section 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shall be effective as against any Holder of Registrable Notes unless consented to in writing by such Holder. Any amendments, modifications, supplements, waivers or consents pursuant to this Section 6(b) shall be by a writing executed by each of the parties hereto. Each Holder of Registrable Notes outstanding at the time of any such amendment, modification, supplement, waiver or consent thereafter shall be bound by any such amendment, modification, supplement, waiver or consent effected pursuant to this Section 6(b), whether or not any notice, writing or marking indicating such amendment, modification, supplement, waiver or consent appears on the Registrable Notes or is delivered to such Holder. Notwithstanding the foregoing, each Holder may waive compliance with respect to any obligation of the Company Parties under this Agreement as it may apply or be enforced by such particular Holder.</w:t>
      </w:r>
    </w:p>
    <w:p>
      <w:pPr>
        <w:spacing w:after="0" w:line="139" w:lineRule="exact"/>
        <w:rPr>
          <w:sz w:val="20"/>
          <w:szCs w:val="20"/>
          <w:color w:val="auto"/>
        </w:rPr>
      </w:pPr>
    </w:p>
    <w:p>
      <w:pPr>
        <w:ind w:left="340" w:right="359" w:firstLine="916"/>
        <w:spacing w:after="0" w:line="244" w:lineRule="auto"/>
        <w:rPr>
          <w:sz w:val="20"/>
          <w:szCs w:val="20"/>
          <w:color w:val="auto"/>
        </w:rPr>
      </w:pPr>
      <w:r>
        <w:rPr>
          <w:rFonts w:ascii="Times New Roman" w:cs="Times New Roman" w:eastAsia="Times New Roman" w:hAnsi="Times New Roman"/>
          <w:sz w:val="16"/>
          <w:szCs w:val="16"/>
          <w:color w:val="auto"/>
        </w:rPr>
        <w:t xml:space="preserve">(c)    </w:t>
      </w:r>
      <w:r>
        <w:rPr>
          <w:rFonts w:ascii="Times New Roman" w:cs="Times New Roman" w:eastAsia="Times New Roman" w:hAnsi="Times New Roman"/>
          <w:sz w:val="16"/>
          <w:szCs w:val="16"/>
          <w:i w:val="1"/>
          <w:iCs w:val="1"/>
          <w:color w:val="auto"/>
        </w:rPr>
        <w:t>Notices.</w:t>
      </w:r>
      <w:r>
        <w:rPr>
          <w:rFonts w:ascii="Times New Roman" w:cs="Times New Roman" w:eastAsia="Times New Roman" w:hAnsi="Times New Roman"/>
          <w:sz w:val="16"/>
          <w:szCs w:val="16"/>
          <w:color w:val="auto"/>
        </w:rPr>
        <w:t xml:space="preserve"> All notices and other communications provided for or permitted hereunder shall be made in writing by hand-delivery, registered first-class mail, email, telecopier, or any courier guaranteeing overnight delivery (i) if to the Company Parties or any Dealer Manager, initially at its address set forth in the Dealer Manager Agreement and thereafter at such other address(es), notice of which is given in accordance with the provisions of this Section 6(c) and (ii) if to a Holder or any other Person, at the most current address given by such Holder or such other Person to the Company Parties by means of a notice given in accordance with the provisions of this Section 6(c). All such notices and communications shall be deemed to have been duly given: at the time delivered by hand, if personally delivered; three Business Days after being deposited in the mail, postage prepaid, if mailed; when receipt is acknowledged, if emailed or telecopied; and on the next Business Day if timely delivered to an air courier guaranteeing overnight delivery.</w:t>
      </w:r>
    </w:p>
    <w:p>
      <w:pPr>
        <w:spacing w:after="0" w:line="133" w:lineRule="exact"/>
        <w:rPr>
          <w:sz w:val="20"/>
          <w:szCs w:val="20"/>
          <w:color w:val="auto"/>
        </w:rPr>
      </w:pPr>
    </w:p>
    <w:p>
      <w:pPr>
        <w:ind w:left="340" w:right="459" w:firstLine="916"/>
        <w:spacing w:after="0" w:line="247" w:lineRule="auto"/>
        <w:rPr>
          <w:sz w:val="20"/>
          <w:szCs w:val="20"/>
          <w:color w:val="auto"/>
        </w:rPr>
      </w:pPr>
      <w:r>
        <w:rPr>
          <w:rFonts w:ascii="Times New Roman" w:cs="Times New Roman" w:eastAsia="Times New Roman" w:hAnsi="Times New Roman"/>
          <w:sz w:val="16"/>
          <w:szCs w:val="16"/>
          <w:color w:val="auto"/>
        </w:rPr>
        <w:t xml:space="preserve">(d)    </w:t>
      </w:r>
      <w:r>
        <w:rPr>
          <w:rFonts w:ascii="Times New Roman" w:cs="Times New Roman" w:eastAsia="Times New Roman" w:hAnsi="Times New Roman"/>
          <w:sz w:val="16"/>
          <w:szCs w:val="16"/>
          <w:i w:val="1"/>
          <w:iCs w:val="1"/>
          <w:color w:val="auto"/>
        </w:rPr>
        <w:t>Majority of Holders</w:t>
      </w:r>
      <w:r>
        <w:rPr>
          <w:rFonts w:ascii="Times New Roman" w:cs="Times New Roman" w:eastAsia="Times New Roman" w:hAnsi="Times New Roman"/>
          <w:sz w:val="16"/>
          <w:szCs w:val="16"/>
          <w:color w:val="auto"/>
        </w:rPr>
        <w:t>. Whenever an action or determination under this Agreement requires a majority of the aggregate principal amount of the applicable Holders, in determining such majority, if the Company shall issue any additional Notes under the Indenture prior to consummation of the Exchange Offer or, if applicable, the effectiveness of any Shelf Registration Statement, then such additional Notes and the Registrable Notes to which this Agreement relates shall be treated together as one class for purposes of determining whether the consent or approval of Holders of a specified percentage of Registrable Notes has been obtained.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9019"/>
          </w:cols>
          <w:pgMar w:left="1440" w:top="231" w:right="1440" w:bottom="1440" w:gutter="0" w:footer="0" w:header="0"/>
        </w:sectPr>
      </w:pPr>
    </w:p>
    <w:bookmarkStart w:id="86" w:name="page87"/>
    <w:bookmarkEnd w:id="86"/>
    <w:p>
      <w:pPr>
        <w:ind w:left="340" w:right="379" w:firstLine="916"/>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 xml:space="preserve">(e)    </w:t>
      </w:r>
      <w:r>
        <w:rPr>
          <w:rFonts w:ascii="Times New Roman" w:cs="Times New Roman" w:eastAsia="Times New Roman" w:hAnsi="Times New Roman"/>
          <w:sz w:val="16"/>
          <w:szCs w:val="16"/>
          <w:i w:val="1"/>
          <w:iCs w:val="1"/>
          <w:color w:val="auto"/>
        </w:rPr>
        <w:t>Successors and Assigns.</w:t>
      </w:r>
      <w:r>
        <w:rPr>
          <w:rFonts w:ascii="Times New Roman" w:cs="Times New Roman" w:eastAsia="Times New Roman" w:hAnsi="Times New Roman"/>
          <w:sz w:val="16"/>
          <w:szCs w:val="16"/>
          <w:color w:val="auto"/>
        </w:rPr>
        <w:t xml:space="preserve"> This Agreement shall inure to the benefit of and be binding upon the successors, assigns and transferees of each of the parties, including, without limitation and without the need for an express assignment, subsequent Holders;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nothing herein shall be deemed to permit any assignment, transfer or other disposition of Registrable Notes in violation of the terms of the Indenture. If any transferee of any Holder shall acquire Registrable Notes in any manner, whether by operation of law or otherwise, such Registrable Notes shall be held subject to all the terms of this Agreement, and by taking and holding such Registrable Notes such Person shall be conclusively deemed to have agreed to be bound by and to perform all of the terms and provisions of this Agreement and such Person shall be entitled to receive the benefits hereof. The Dealer Managers (in their capacity as Dealer Managers) shall have no liability or obligation to the Company Parties with respect to any failure by a Holder to comply with, or any breach by any Holder of, any of the obligations of such Holder under this Agreement.</w:t>
      </w:r>
    </w:p>
    <w:p>
      <w:pPr>
        <w:spacing w:after="0" w:line="137" w:lineRule="exact"/>
        <w:rPr>
          <w:sz w:val="20"/>
          <w:szCs w:val="20"/>
          <w:color w:val="auto"/>
        </w:rPr>
      </w:pPr>
    </w:p>
    <w:p>
      <w:pPr>
        <w:ind w:left="340" w:right="359" w:firstLine="916"/>
        <w:spacing w:after="0" w:line="249" w:lineRule="auto"/>
        <w:rPr>
          <w:sz w:val="20"/>
          <w:szCs w:val="20"/>
          <w:color w:val="auto"/>
        </w:rPr>
      </w:pPr>
      <w:r>
        <w:rPr>
          <w:rFonts w:ascii="Times New Roman" w:cs="Times New Roman" w:eastAsia="Times New Roman" w:hAnsi="Times New Roman"/>
          <w:sz w:val="16"/>
          <w:szCs w:val="16"/>
          <w:color w:val="auto"/>
        </w:rPr>
        <w:t xml:space="preserve">(f)    </w:t>
      </w:r>
      <w:r>
        <w:rPr>
          <w:rFonts w:ascii="Times New Roman" w:cs="Times New Roman" w:eastAsia="Times New Roman" w:hAnsi="Times New Roman"/>
          <w:sz w:val="16"/>
          <w:szCs w:val="16"/>
          <w:i w:val="1"/>
          <w:iCs w:val="1"/>
          <w:color w:val="auto"/>
        </w:rPr>
        <w:t>Third Party Beneficiaries.</w:t>
      </w:r>
      <w:r>
        <w:rPr>
          <w:rFonts w:ascii="Times New Roman" w:cs="Times New Roman" w:eastAsia="Times New Roman" w:hAnsi="Times New Roman"/>
          <w:sz w:val="16"/>
          <w:szCs w:val="16"/>
          <w:color w:val="auto"/>
        </w:rPr>
        <w:t xml:space="preserve"> Each Holder (including any Participating Broker-Dealer for purposes of Sections 4 and 5) shall be a third party beneficiary of the agreements made hereunder between the Company Parties, on the one hand, and the Dealer Managers, on the other hand, and shall have the right to enforce such agreements directly to the extent it deems such enforcement necessary or advisable to protect its rights or the rights of other Holders (including Participating Broker-Dealers for purposes of Sections 4 and 5) hereunder, as applicable.</w:t>
      </w:r>
    </w:p>
    <w:p>
      <w:pPr>
        <w:spacing w:after="0" w:line="127" w:lineRule="exact"/>
        <w:rPr>
          <w:sz w:val="20"/>
          <w:szCs w:val="20"/>
          <w:color w:val="auto"/>
        </w:rPr>
      </w:pPr>
    </w:p>
    <w:p>
      <w:pPr>
        <w:ind w:left="340" w:right="359" w:firstLine="916"/>
        <w:spacing w:after="0" w:line="245" w:lineRule="auto"/>
        <w:rPr>
          <w:sz w:val="20"/>
          <w:szCs w:val="20"/>
          <w:color w:val="auto"/>
        </w:rPr>
      </w:pPr>
      <w:r>
        <w:rPr>
          <w:rFonts w:ascii="Times New Roman" w:cs="Times New Roman" w:eastAsia="Times New Roman" w:hAnsi="Times New Roman"/>
          <w:sz w:val="16"/>
          <w:szCs w:val="16"/>
          <w:color w:val="auto"/>
        </w:rPr>
        <w:t xml:space="preserve">(g)    </w:t>
      </w:r>
      <w:r>
        <w:rPr>
          <w:rFonts w:ascii="Times New Roman" w:cs="Times New Roman" w:eastAsia="Times New Roman" w:hAnsi="Times New Roman"/>
          <w:sz w:val="16"/>
          <w:szCs w:val="16"/>
          <w:i w:val="1"/>
          <w:iCs w:val="1"/>
          <w:color w:val="auto"/>
        </w:rPr>
        <w:t>Counterparts.</w:t>
      </w:r>
      <w:r>
        <w:rPr>
          <w:rFonts w:ascii="Times New Roman" w:cs="Times New Roman" w:eastAsia="Times New Roman" w:hAnsi="Times New Roman"/>
          <w:sz w:val="16"/>
          <w:szCs w:val="16"/>
          <w:color w:val="auto"/>
        </w:rPr>
        <w:t xml:space="preserve"> This Agreement may be executed in two or more counterparts, each of which shall be an original, with the same effect as if the signatures thereto and hereto were upon the same instrument, and shall become effective when one or more counterparts have been signed by each of the parties and delivered (by telecopy, electronic delivery or otherwise) to the other parties. The exchange of copies of this Agreement and of signature pages by telecopier, facsimile or other electronic transmission (including any electronic signature covered by the U.S. federal ESIGN Act of 2000, Uniform Electronic Transactions Act, the Electronic Signatures and Records Act or other applicable law) will constitute effective execution and delivery of this Agreement as to the parties hereto and will have the same effect as physical delivery of the paper document bearing the original signature.</w:t>
      </w:r>
    </w:p>
    <w:p>
      <w:pPr>
        <w:spacing w:after="0" w:line="130" w:lineRule="exact"/>
        <w:rPr>
          <w:sz w:val="20"/>
          <w:szCs w:val="20"/>
          <w:color w:val="auto"/>
        </w:rPr>
      </w:pPr>
    </w:p>
    <w:p>
      <w:pPr>
        <w:ind w:left="340" w:right="579" w:firstLine="916"/>
        <w:spacing w:after="0" w:line="278" w:lineRule="auto"/>
        <w:rPr>
          <w:sz w:val="20"/>
          <w:szCs w:val="20"/>
          <w:color w:val="auto"/>
        </w:rPr>
      </w:pPr>
      <w:r>
        <w:rPr>
          <w:rFonts w:ascii="Times New Roman" w:cs="Times New Roman" w:eastAsia="Times New Roman" w:hAnsi="Times New Roman"/>
          <w:sz w:val="16"/>
          <w:szCs w:val="16"/>
          <w:color w:val="auto"/>
        </w:rPr>
        <w:t xml:space="preserve">(h)    </w:t>
      </w:r>
      <w:r>
        <w:rPr>
          <w:rFonts w:ascii="Times New Roman" w:cs="Times New Roman" w:eastAsia="Times New Roman" w:hAnsi="Times New Roman"/>
          <w:sz w:val="16"/>
          <w:szCs w:val="16"/>
          <w:i w:val="1"/>
          <w:iCs w:val="1"/>
          <w:color w:val="auto"/>
        </w:rPr>
        <w:t>Headings.</w:t>
      </w:r>
      <w:r>
        <w:rPr>
          <w:rFonts w:ascii="Times New Roman" w:cs="Times New Roman" w:eastAsia="Times New Roman" w:hAnsi="Times New Roman"/>
          <w:sz w:val="16"/>
          <w:szCs w:val="16"/>
          <w:color w:val="auto"/>
        </w:rPr>
        <w:t xml:space="preserve"> The headings in this Agreement are for convenience of reference only, are not a part of this Agreement and shall not limit or otherwise affect the meaning hereof.</w:t>
      </w:r>
    </w:p>
    <w:p>
      <w:pPr>
        <w:spacing w:after="0" w:line="104" w:lineRule="exact"/>
        <w:rPr>
          <w:sz w:val="20"/>
          <w:szCs w:val="20"/>
          <w:color w:val="auto"/>
        </w:rPr>
      </w:pPr>
    </w:p>
    <w:p>
      <w:pPr>
        <w:ind w:left="340" w:right="379" w:firstLine="916"/>
        <w:spacing w:after="0" w:line="247" w:lineRule="auto"/>
        <w:rPr>
          <w:sz w:val="20"/>
          <w:szCs w:val="20"/>
          <w:color w:val="auto"/>
        </w:rPr>
      </w:pPr>
      <w:r>
        <w:rPr>
          <w:rFonts w:ascii="Times New Roman" w:cs="Times New Roman" w:eastAsia="Times New Roman" w:hAnsi="Times New Roman"/>
          <w:sz w:val="16"/>
          <w:szCs w:val="16"/>
          <w:color w:val="auto"/>
        </w:rPr>
        <w:t xml:space="preserve">(i)    </w:t>
      </w:r>
      <w:r>
        <w:rPr>
          <w:rFonts w:ascii="Times New Roman" w:cs="Times New Roman" w:eastAsia="Times New Roman" w:hAnsi="Times New Roman"/>
          <w:sz w:val="16"/>
          <w:szCs w:val="16"/>
          <w:i w:val="1"/>
          <w:iCs w:val="1"/>
          <w:color w:val="auto"/>
        </w:rPr>
        <w:t>GOVERNING LAW; WAIVER OF JURY TRIAL.</w:t>
      </w:r>
      <w:r>
        <w:rPr>
          <w:rFonts w:ascii="Times New Roman" w:cs="Times New Roman" w:eastAsia="Times New Roman" w:hAnsi="Times New Roman"/>
          <w:sz w:val="16"/>
          <w:szCs w:val="16"/>
          <w:color w:val="auto"/>
        </w:rPr>
        <w:t xml:space="preserve"> THIS AGREEMENT, AND ANY CLAIM, CONTROVERSY OR DISPUTE ARISING UNDER OR RELATED TO THIS AGREEMENT, SHALL BE GOVERNED BY AND CONSTRUED IN ACCORDANCE WITH THE LAWS OF THE STATE OF NEW YORK, WITHOUT REGARD TO PRINCIPLES OF CONFLICTS OF LAW THAT WOULD APPLY THE LAW OF ANY OTHER JURISDICTION. EACH OF THE PARTIES HERETO AGREES TO SUBMIT TO THE JURISDICTION OF THE COURTS OF THE STATE OF NEW YORK SITTING IN</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9019"/>
          </w:cols>
          <w:pgMar w:left="1440" w:top="229" w:right="1440" w:bottom="1440" w:gutter="0" w:footer="0" w:header="0"/>
        </w:sectPr>
      </w:pPr>
    </w:p>
    <w:bookmarkStart w:id="87" w:name="page88"/>
    <w:bookmarkEnd w:id="87"/>
    <w:p>
      <w:pPr>
        <w:ind w:left="340" w:right="399"/>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204075" cy="31750"/>
                    </a:xfrm>
                    <a:prstGeom prst="rect">
                      <a:avLst/>
                    </a:prstGeom>
                    <a:noFill/>
                  </pic:spPr>
                </pic:pic>
              </a:graphicData>
            </a:graphic>
          </wp:anchor>
        </w:drawing>
        <w:t>NEW YORK COUNTY OR OF THE UNITED STATES OF AMERICA FOR THE SOUTHERN DISTRICT OF NEW YORK IN ANY ACTION OR PROCEEDING ARISING OUT OF OR RELATING TO THIS AGREEMENT. THE PARTIES HERETO EACH HEREBY WAIVE ANY RIGHT TO TRIAL BY JURY IN ANY ACTION, PROCEEDING OR COUNTERCLAIM ARISING OUT OF OR RELATING TO THIS AGREEMENT.</w:t>
      </w:r>
    </w:p>
    <w:p>
      <w:pPr>
        <w:spacing w:after="0" w:line="126" w:lineRule="exact"/>
        <w:rPr>
          <w:sz w:val="20"/>
          <w:szCs w:val="20"/>
          <w:color w:val="auto"/>
        </w:rPr>
      </w:pPr>
    </w:p>
    <w:p>
      <w:pPr>
        <w:ind w:left="340" w:right="379" w:firstLine="916"/>
        <w:spacing w:after="0" w:line="245" w:lineRule="auto"/>
        <w:rPr>
          <w:sz w:val="20"/>
          <w:szCs w:val="20"/>
          <w:color w:val="auto"/>
        </w:rPr>
      </w:pPr>
      <w:r>
        <w:rPr>
          <w:rFonts w:ascii="Times New Roman" w:cs="Times New Roman" w:eastAsia="Times New Roman" w:hAnsi="Times New Roman"/>
          <w:sz w:val="16"/>
          <w:szCs w:val="16"/>
          <w:color w:val="auto"/>
        </w:rPr>
        <w:t xml:space="preserve">(j)  </w:t>
      </w:r>
      <w:r>
        <w:rPr>
          <w:rFonts w:ascii="Times New Roman" w:cs="Times New Roman" w:eastAsia="Times New Roman" w:hAnsi="Times New Roman"/>
          <w:sz w:val="16"/>
          <w:szCs w:val="16"/>
          <w:i w:val="1"/>
          <w:iCs w:val="1"/>
          <w:color w:val="auto"/>
        </w:rPr>
        <w:t xml:space="preserve">  Entire Agreement; Severability.</w:t>
      </w:r>
      <w:r>
        <w:rPr>
          <w:rFonts w:ascii="Times New Roman" w:cs="Times New Roman" w:eastAsia="Times New Roman" w:hAnsi="Times New Roman"/>
          <w:sz w:val="16"/>
          <w:szCs w:val="16"/>
          <w:color w:val="auto"/>
        </w:rPr>
        <w:t xml:space="preserve"> This Agreement contains the entire agreement between the parties relating to the subject matter hereof and supersedes all oral statements and prior writings with respect thereto. If any term, provision, covenant or restriction contained in this Agreement is held by a court of competent jurisdiction to be invalid, void or unenforceable or against public policy, the remainder of the terms, provisions, covenants and restrictions contained herein shall remain in full force and effect and shall in no way be affected, impaired or invalidated. The Company Parties and the Dealer Managers shall endeavor in good faith negotiations to replace the invalid, void or unenforceable provisions with valid provisions the economic effect of which comes as close as possible to that of the invalid, void or unenforceable provisions.</w:t>
      </w:r>
    </w:p>
    <w:p>
      <w:pPr>
        <w:spacing w:after="0" w:line="134" w:lineRule="exact"/>
        <w:rPr>
          <w:sz w:val="20"/>
          <w:szCs w:val="20"/>
          <w:color w:val="auto"/>
        </w:rPr>
      </w:pPr>
    </w:p>
    <w:p>
      <w:pPr>
        <w:ind w:left="340" w:right="399" w:firstLine="916"/>
        <w:spacing w:after="0" w:line="252" w:lineRule="auto"/>
        <w:rPr>
          <w:sz w:val="20"/>
          <w:szCs w:val="20"/>
          <w:color w:val="auto"/>
        </w:rPr>
      </w:pPr>
      <w:r>
        <w:rPr>
          <w:rFonts w:ascii="Times New Roman" w:cs="Times New Roman" w:eastAsia="Times New Roman" w:hAnsi="Times New Roman"/>
          <w:sz w:val="16"/>
          <w:szCs w:val="16"/>
          <w:color w:val="auto"/>
        </w:rPr>
        <w:t xml:space="preserve">(k)  </w:t>
      </w:r>
      <w:r>
        <w:rPr>
          <w:rFonts w:ascii="Times New Roman" w:cs="Times New Roman" w:eastAsia="Times New Roman" w:hAnsi="Times New Roman"/>
          <w:sz w:val="16"/>
          <w:szCs w:val="16"/>
          <w:i w:val="1"/>
          <w:iCs w:val="1"/>
          <w:color w:val="auto"/>
        </w:rPr>
        <w:t xml:space="preserve">  Notes Held by the Company Parties or their Affiliates</w:t>
      </w:r>
      <w:r>
        <w:rPr>
          <w:rFonts w:ascii="Times New Roman" w:cs="Times New Roman" w:eastAsia="Times New Roman" w:hAnsi="Times New Roman"/>
          <w:sz w:val="16"/>
          <w:szCs w:val="16"/>
          <w:color w:val="auto"/>
        </w:rPr>
        <w:t>. Whenever the consent or approval of Holders of a specified percentage of a series of Registrable Notes is required hereunder, Registrable Notes of such series held by the Company Parties or their “affiliates” (as such term is defined in Rule 405 under the Securities Act) shall not be counted in determining whether such consent or approval was given by the Holders of such required percentage.</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9019"/>
          </w:cols>
          <w:pgMar w:left="1440" w:top="231" w:right="1440" w:bottom="1440" w:gutter="0" w:footer="0" w:header="0"/>
        </w:sectPr>
      </w:pPr>
    </w:p>
    <w:bookmarkStart w:id="88" w:name="page89"/>
    <w:bookmarkEnd w:id="88"/>
    <w:p>
      <w:pPr>
        <w:ind w:left="11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204075" cy="31750"/>
                    </a:xfrm>
                    <a:prstGeom prst="rect">
                      <a:avLst/>
                    </a:prstGeom>
                    <a:noFill/>
                  </pic:spPr>
                </pic:pic>
              </a:graphicData>
            </a:graphic>
          </wp:anchor>
        </w:drawing>
        <w:t>IN WITNESS WHEREOF, the parties have executed this Agreement as of the date first written above.</w:t>
      </w:r>
    </w:p>
    <w:p>
      <w:pPr>
        <w:spacing w:after="0" w:line="37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5"/>
          <w:szCs w:val="15"/>
          <w:b w:val="1"/>
          <w:bCs w:val="1"/>
          <w:color w:val="auto"/>
        </w:rPr>
        <w:t>SHELL FINANCE US INC.</w:t>
      </w:r>
    </w:p>
    <w:p>
      <w:pPr>
        <w:spacing w:after="0" w:line="16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5"/>
          <w:szCs w:val="15"/>
          <w:color w:val="auto"/>
        </w:rPr>
        <w:t>By: /s/ Olga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11430</wp:posOffset>
            </wp:positionV>
            <wp:extent cx="193738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1937385" cy="6350"/>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Name: Olga Stevens</w:t>
      </w:r>
    </w:p>
    <w:p>
      <w:pPr>
        <w:spacing w:after="0" w:line="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Title: Vice President – Finance</w:t>
      </w:r>
    </w:p>
    <w:p>
      <w:pPr>
        <w:spacing w:after="0" w:line="14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11430</wp:posOffset>
            </wp:positionV>
            <wp:extent cx="193738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1937385" cy="6350"/>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Name: John Misso</w:t>
      </w:r>
    </w:p>
    <w:p>
      <w:pPr>
        <w:spacing w:after="0" w:line="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Title: Vice President and General Tax Counsel</w:t>
      </w:r>
    </w:p>
    <w:p>
      <w:pPr>
        <w:spacing w:after="0" w:line="15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5"/>
          <w:szCs w:val="15"/>
          <w:b w:val="1"/>
          <w:bCs w:val="1"/>
          <w:color w:val="auto"/>
        </w:rPr>
        <w:t>SHELL PLC</w:t>
      </w:r>
    </w:p>
    <w:p>
      <w:pPr>
        <w:spacing w:after="0" w:line="16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11430</wp:posOffset>
            </wp:positionV>
            <wp:extent cx="193738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1937385" cy="6350"/>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Name: Frances Hinden</w:t>
      </w:r>
    </w:p>
    <w:p>
      <w:pPr>
        <w:spacing w:after="0" w:line="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Title: EVP Treasury and Corporate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Registration Rights Agreement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35" w:right="1440" w:bottom="1440" w:gutter="0" w:footer="0" w:header="0"/>
        </w:sectPr>
      </w:pPr>
    </w:p>
    <w:bookmarkStart w:id="89" w:name="page90"/>
    <w:bookmarkEnd w:id="89"/>
    <w:p>
      <w:pPr>
        <w:ind w:left="12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IN WITNESS WHEREOF, the parties have executed this Agreement as of the date first written above.</w:t>
      </w:r>
    </w:p>
    <w:p>
      <w:pPr>
        <w:spacing w:after="0" w:line="17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auto"/>
        </w:rPr>
        <w:t>SHELL FINANCE US INC.</w:t>
      </w:r>
    </w:p>
    <w:p>
      <w:pPr>
        <w:spacing w:after="0" w:line="24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-12700</wp:posOffset>
            </wp:positionV>
            <wp:extent cx="192405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1924050" cy="6350"/>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6"/>
          <w:szCs w:val="16"/>
          <w:color w:val="auto"/>
        </w:rPr>
        <w:t>Name: Olga Stevens</w:t>
      </w:r>
    </w:p>
    <w:p>
      <w:pPr>
        <w:ind w:left="5640"/>
        <w:spacing w:after="0"/>
        <w:rPr>
          <w:sz w:val="20"/>
          <w:szCs w:val="20"/>
          <w:color w:val="auto"/>
        </w:rPr>
      </w:pPr>
      <w:r>
        <w:rPr>
          <w:rFonts w:ascii="Times New Roman" w:cs="Times New Roman" w:eastAsia="Times New Roman" w:hAnsi="Times New Roman"/>
          <w:sz w:val="16"/>
          <w:szCs w:val="16"/>
          <w:color w:val="auto"/>
        </w:rPr>
        <w:t>Title: Vice President – Finance</w:t>
      </w:r>
    </w:p>
    <w:p>
      <w:pPr>
        <w:spacing w:after="0" w:line="14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color w:val="auto"/>
        </w:rPr>
        <w:t>By: /s/ John Misso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12700</wp:posOffset>
            </wp:positionV>
            <wp:extent cx="192405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1924050" cy="635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 John Misso</w:t>
      </w:r>
    </w:p>
    <w:p>
      <w:pPr>
        <w:spacing w:after="0" w:line="1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6"/>
          <w:szCs w:val="16"/>
          <w:color w:val="auto"/>
        </w:rPr>
        <w:t>Title: Vice President and General Tax Counsel</w:t>
      </w:r>
    </w:p>
    <w:p>
      <w:pPr>
        <w:spacing w:after="0" w:line="30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auto"/>
        </w:rPr>
        <w:t>SHELL PLC</w:t>
      </w:r>
    </w:p>
    <w:p>
      <w:pPr>
        <w:spacing w:after="0" w:line="24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-12700</wp:posOffset>
            </wp:positionV>
            <wp:extent cx="192405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1924050" cy="6350"/>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6"/>
          <w:szCs w:val="16"/>
          <w:color w:val="auto"/>
        </w:rPr>
        <w:t>Name: Frances Hinden</w:t>
      </w:r>
    </w:p>
    <w:p>
      <w:pPr>
        <w:ind w:left="5640"/>
        <w:spacing w:after="0"/>
        <w:rPr>
          <w:sz w:val="20"/>
          <w:szCs w:val="20"/>
          <w:color w:val="auto"/>
        </w:rPr>
      </w:pPr>
      <w:r>
        <w:rPr>
          <w:rFonts w:ascii="Times New Roman" w:cs="Times New Roman" w:eastAsia="Times New Roman" w:hAnsi="Times New Roman"/>
          <w:sz w:val="16"/>
          <w:szCs w:val="16"/>
          <w:color w:val="auto"/>
        </w:rPr>
        <w:t>Title: EVP Treasury and Corporate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Registration Rights Agreement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31" w:right="1440" w:bottom="1440" w:gutter="0" w:footer="0" w:header="0"/>
        </w:sectPr>
      </w:pPr>
    </w:p>
    <w:bookmarkStart w:id="90" w:name="page91"/>
    <w:bookmarkEnd w:id="90"/>
    <w:p>
      <w:pPr>
        <w:ind w:left="12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IN WITNESS WHEREOF, the parties have executed this Agreement as of the date first written above.</w:t>
      </w:r>
    </w:p>
    <w:p>
      <w:pPr>
        <w:spacing w:after="0" w:line="17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auto"/>
        </w:rPr>
        <w:t>SHELL FINANCE US INC.</w:t>
      </w:r>
    </w:p>
    <w:p>
      <w:pPr>
        <w:spacing w:after="0" w:line="24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-12700</wp:posOffset>
            </wp:positionV>
            <wp:extent cx="192405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1924050" cy="6350"/>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6"/>
          <w:szCs w:val="16"/>
          <w:color w:val="auto"/>
        </w:rPr>
        <w:t>Name: Olga Stevens</w:t>
      </w:r>
    </w:p>
    <w:p>
      <w:pPr>
        <w:ind w:left="5640"/>
        <w:spacing w:after="0"/>
        <w:rPr>
          <w:sz w:val="20"/>
          <w:szCs w:val="20"/>
          <w:color w:val="auto"/>
        </w:rPr>
      </w:pPr>
      <w:r>
        <w:rPr>
          <w:rFonts w:ascii="Times New Roman" w:cs="Times New Roman" w:eastAsia="Times New Roman" w:hAnsi="Times New Roman"/>
          <w:sz w:val="16"/>
          <w:szCs w:val="16"/>
          <w:color w:val="auto"/>
        </w:rPr>
        <w:t>Title: Vice President – Finance</w:t>
      </w:r>
    </w:p>
    <w:p>
      <w:pPr>
        <w:spacing w:after="0" w:line="14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-12700</wp:posOffset>
            </wp:positionV>
            <wp:extent cx="192405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1924050" cy="6350"/>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6"/>
          <w:szCs w:val="16"/>
          <w:color w:val="auto"/>
        </w:rPr>
        <w:t>Name: John Misso</w:t>
      </w:r>
    </w:p>
    <w:p>
      <w:pPr>
        <w:ind w:left="5640"/>
        <w:spacing w:after="0"/>
        <w:rPr>
          <w:sz w:val="20"/>
          <w:szCs w:val="20"/>
          <w:color w:val="auto"/>
        </w:rPr>
      </w:pPr>
      <w:r>
        <w:rPr>
          <w:rFonts w:ascii="Times New Roman" w:cs="Times New Roman" w:eastAsia="Times New Roman" w:hAnsi="Times New Roman"/>
          <w:sz w:val="16"/>
          <w:szCs w:val="16"/>
          <w:color w:val="auto"/>
        </w:rPr>
        <w:t>Title: Vice President and General Tax Counsel</w:t>
      </w:r>
    </w:p>
    <w:p>
      <w:pPr>
        <w:spacing w:after="0" w:line="30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auto"/>
        </w:rPr>
        <w:t>SHELL PLC</w:t>
      </w:r>
    </w:p>
    <w:p>
      <w:pPr>
        <w:spacing w:after="0" w:line="24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color w:val="auto"/>
        </w:rPr>
        <w:t>By: /s/ Frances Hinden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12700</wp:posOffset>
            </wp:positionV>
            <wp:extent cx="192405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1924050" cy="635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 Frances Hinden</w:t>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Title: EVP Treasury and Corporate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Registration Rights Agreement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31" w:right="1440" w:bottom="1440" w:gutter="0" w:footer="0" w:header="0"/>
        </w:sectPr>
      </w:pPr>
    </w:p>
    <w:bookmarkStart w:id="91" w:name="page92"/>
    <w:bookmarkEnd w:id="91"/>
    <w:p>
      <w:pPr>
        <w:ind w:left="12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Confirmed and accepted as of the date first above written:</w:t>
      </w:r>
    </w:p>
    <w:p>
      <w:pPr>
        <w:spacing w:after="0" w:line="200" w:lineRule="exact"/>
        <w:rPr>
          <w:sz w:val="20"/>
          <w:szCs w:val="20"/>
          <w:color w:val="auto"/>
        </w:rPr>
      </w:pPr>
    </w:p>
    <w:p>
      <w:pPr>
        <w:spacing w:after="0" w:line="36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color w:val="auto"/>
        </w:rPr>
        <w:t>BOFA SECURITIES, INC.</w:t>
      </w:r>
    </w:p>
    <w:p>
      <w:pPr>
        <w:spacing w:after="0" w:line="19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color w:val="auto"/>
        </w:rPr>
        <w:t>By: /s/ Brendan 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12700</wp:posOffset>
            </wp:positionV>
            <wp:extent cx="194373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1943735" cy="6350"/>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   Name: Brendan Reen</w:t>
      </w:r>
    </w:p>
    <w:p>
      <w:pPr>
        <w:jc w:val="right"/>
        <w:ind w:right="1659"/>
        <w:spacing w:after="0"/>
        <w:rPr>
          <w:sz w:val="20"/>
          <w:szCs w:val="20"/>
          <w:color w:val="auto"/>
        </w:rPr>
      </w:pPr>
      <w:r>
        <w:rPr>
          <w:rFonts w:ascii="Times New Roman" w:cs="Times New Roman" w:eastAsia="Times New Roman" w:hAnsi="Times New Roman"/>
          <w:sz w:val="16"/>
          <w:szCs w:val="16"/>
          <w:color w:val="auto"/>
        </w:rPr>
        <w:t>   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Registration Rights Agreement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31" w:right="1440" w:bottom="1440" w:gutter="0" w:footer="0" w:header="0"/>
        </w:sectPr>
      </w:pPr>
    </w:p>
    <w:bookmarkStart w:id="92" w:name="page93"/>
    <w:bookmarkEnd w:id="92"/>
    <w:p>
      <w:pPr>
        <w:ind w:left="53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204075" cy="31750"/>
                    </a:xfrm>
                    <a:prstGeom prst="rect">
                      <a:avLst/>
                    </a:prstGeom>
                    <a:noFill/>
                  </pic:spPr>
                </pic:pic>
              </a:graphicData>
            </a:graphic>
          </wp:anchor>
        </w:drawing>
        <w:t>DEUTSCHE BANK SECURITIES INC.</w:t>
      </w:r>
    </w:p>
    <w:p>
      <w:pPr>
        <w:spacing w:after="0" w:line="163" w:lineRule="exact"/>
        <w:rPr>
          <w:sz w:val="20"/>
          <w:szCs w:val="20"/>
          <w:color w:val="auto"/>
        </w:rPr>
      </w:pPr>
    </w:p>
    <w:p>
      <w:pPr>
        <w:ind w:left="5340"/>
        <w:spacing w:after="0"/>
        <w:tabs>
          <w:tab w:leader="none" w:pos="5600" w:val="left"/>
        </w:tabs>
        <w:rPr>
          <w:sz w:val="20"/>
          <w:szCs w:val="20"/>
          <w:color w:val="auto"/>
        </w:rPr>
      </w:pPr>
      <w:r>
        <w:rPr>
          <w:rFonts w:ascii="Times New Roman" w:cs="Times New Roman" w:eastAsia="Times New Roman" w:hAnsi="Times New Roman"/>
          <w:sz w:val="16"/>
          <w:szCs w:val="16"/>
          <w:color w:val="auto"/>
        </w:rPr>
        <w:t xml:space="preserve">   </w:t>
        <w:tab/>
        <w:t>By: /s/ Ryan E.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3747770</wp:posOffset>
            </wp:positionH>
            <wp:positionV relativeFrom="paragraph">
              <wp:posOffset>12700</wp:posOffset>
            </wp:positionV>
            <wp:extent cx="1755775"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1755775" cy="6350"/>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   Name: Ryan E. Montgomery</w:t>
      </w:r>
    </w:p>
    <w:p>
      <w:pPr>
        <w:spacing w:after="0" w:line="1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   Title: Managing Director</w:t>
      </w:r>
    </w:p>
    <w:p>
      <w:pPr>
        <w:spacing w:after="0" w:line="1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By: /s/ Matthew J. Siracuse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3747770</wp:posOffset>
            </wp:positionH>
            <wp:positionV relativeFrom="paragraph">
              <wp:posOffset>12700</wp:posOffset>
            </wp:positionV>
            <wp:extent cx="175577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1755775" cy="6350"/>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   Name: Matthew J. Siracuse</w:t>
      </w:r>
    </w:p>
    <w:p>
      <w:pPr>
        <w:spacing w:after="0" w:line="1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  Title: Managing Director/Debt Syndicate</w:t>
      </w:r>
    </w:p>
    <w:p>
      <w:pPr>
        <w:ind w:left="5900"/>
        <w:spacing w:after="0"/>
        <w:rPr>
          <w:sz w:val="20"/>
          <w:szCs w:val="20"/>
          <w:color w:val="auto"/>
        </w:rPr>
      </w:pPr>
      <w:r>
        <w:rPr>
          <w:rFonts w:ascii="Times New Roman" w:cs="Times New Roman" w:eastAsia="Times New Roman" w:hAnsi="Times New Roman"/>
          <w:sz w:val="16"/>
          <w:szCs w:val="16"/>
          <w:color w:val="auto"/>
        </w:rPr>
        <w:t>  Deutsche Bank Securities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Registration Rights Agreement</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31" w:right="1440" w:bottom="1440" w:gutter="0" w:footer="0" w:header="0"/>
        </w:sectPr>
      </w:pPr>
    </w:p>
    <w:bookmarkStart w:id="93" w:name="page94"/>
    <w:bookmarkEnd w:id="93"/>
    <w:p>
      <w:pPr>
        <w:ind w:left="53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204075" cy="31750"/>
                    </a:xfrm>
                    <a:prstGeom prst="rect">
                      <a:avLst/>
                    </a:prstGeom>
                    <a:noFill/>
                  </pic:spPr>
                </pic:pic>
              </a:graphicData>
            </a:graphic>
          </wp:anchor>
        </w:drawing>
        <w:t>TD SECURITIES (USA) LLC</w:t>
      </w:r>
    </w:p>
    <w:p>
      <w:pPr>
        <w:spacing w:after="0" w:line="163" w:lineRule="exact"/>
        <w:rPr>
          <w:sz w:val="20"/>
          <w:szCs w:val="20"/>
          <w:color w:val="auto"/>
        </w:rPr>
      </w:pPr>
    </w:p>
    <w:p>
      <w:pPr>
        <w:ind w:left="5340"/>
        <w:spacing w:after="0"/>
        <w:tabs>
          <w:tab w:leader="none" w:pos="5620" w:val="left"/>
        </w:tabs>
        <w:rPr>
          <w:sz w:val="20"/>
          <w:szCs w:val="20"/>
          <w:color w:val="auto"/>
        </w:rPr>
      </w:pPr>
      <w:r>
        <w:rPr>
          <w:rFonts w:ascii="Times New Roman" w:cs="Times New Roman" w:eastAsia="Times New Roman" w:hAnsi="Times New Roman"/>
          <w:sz w:val="16"/>
          <w:szCs w:val="16"/>
          <w:color w:val="auto"/>
        </w:rPr>
        <w:t xml:space="preserve">   </w:t>
        <w:tab/>
        <w:t>By: /s/ Luiz Lanfredi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12700</wp:posOffset>
            </wp:positionV>
            <wp:extent cx="172974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1729740" cy="6350"/>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Name: Luiz Lanfredi</w:t>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Registration Rights Agreement</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31" w:right="1440" w:bottom="1440" w:gutter="0" w:footer="0" w:header="0"/>
        </w:sectPr>
      </w:pPr>
    </w:p>
    <w:bookmarkStart w:id="94" w:name="page95"/>
    <w:bookmarkEnd w:id="94"/>
    <w:tbl>
      <w:tblPr>
        <w:tblLayout w:type="fixed"/>
        <w:tblInd w:w="350" w:type="dxa"/>
        <w:tblCellMar>
          <w:top w:w="0" w:type="dxa"/>
          <w:left w:w="0" w:type="dxa"/>
          <w:bottom w:w="0" w:type="dxa"/>
          <w:right w:w="0" w:type="dxa"/>
        </w:tblCellMar>
      </w:tblPr>
      <w:tr>
        <w:trPr>
          <w:trHeight w:val="215"/>
        </w:trPr>
        <w:tc>
          <w:tcPr>
            <w:tcW w:w="2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8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 xml:space="preserve">SCHEDULE A       </w:t>
            </w:r>
          </w:p>
        </w:tc>
        <w:tc>
          <w:tcPr>
            <w:tcW w:w="0" w:type="dxa"/>
            <w:vAlign w:val="bottom"/>
          </w:tcPr>
          <w:p>
            <w:pPr>
              <w:spacing w:after="0"/>
              <w:rPr>
                <w:sz w:val="1"/>
                <w:szCs w:val="1"/>
                <w:color w:val="auto"/>
              </w:rPr>
            </w:pPr>
          </w:p>
        </w:tc>
      </w:tr>
      <w:tr>
        <w:trPr>
          <w:trHeight w:val="176"/>
        </w:trPr>
        <w:tc>
          <w:tcPr>
            <w:tcW w:w="22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2200" w:type="dxa"/>
            <w:vAlign w:val="bottom"/>
            <w:tcBorders>
              <w:left w:val="single" w:sz="8" w:color="auto"/>
              <w:right w:val="single" w:sz="8" w:color="auto"/>
            </w:tcBorders>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2080" w:type="dxa"/>
            <w:vAlign w:val="bottom"/>
            <w:tcBorders>
              <w:right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4"/>
              </w:rPr>
              <w:t>Aggregate Principal Amount</w:t>
            </w:r>
          </w:p>
        </w:tc>
        <w:tc>
          <w:tcPr>
            <w:tcW w:w="1980" w:type="dxa"/>
            <w:vAlign w:val="bottom"/>
            <w:tcBorders>
              <w:right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5"/>
              </w:rPr>
              <w:t>Date of Latest Interest</w:t>
            </w:r>
          </w:p>
        </w:tc>
        <w:tc>
          <w:tcPr>
            <w:tcW w:w="0" w:type="dxa"/>
            <w:vAlign w:val="bottom"/>
          </w:tcPr>
          <w:p>
            <w:pPr>
              <w:spacing w:after="0"/>
              <w:rPr>
                <w:sz w:val="1"/>
                <w:szCs w:val="1"/>
                <w:color w:val="auto"/>
              </w:rPr>
            </w:pPr>
          </w:p>
        </w:tc>
      </w:tr>
      <w:tr>
        <w:trPr>
          <w:trHeight w:val="141"/>
        </w:trPr>
        <w:tc>
          <w:tcPr>
            <w:tcW w:w="2200" w:type="dxa"/>
            <w:vAlign w:val="bottom"/>
            <w:tcBorders>
              <w:left w:val="single" w:sz="8" w:color="auto"/>
              <w:bottom w:val="single" w:sz="8" w:color="auto"/>
              <w:right w:val="single" w:sz="8" w:color="auto"/>
            </w:tcBorders>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3"/>
              </w:rPr>
              <w:t>Title of Series of Notes</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CUSIP No. of Notes</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Outstanding</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Payment on Old Notes</w:t>
            </w:r>
          </w:p>
        </w:tc>
        <w:tc>
          <w:tcPr>
            <w:tcW w:w="0" w:type="dxa"/>
            <w:vAlign w:val="bottom"/>
          </w:tcPr>
          <w:p>
            <w:pPr>
              <w:spacing w:after="0"/>
              <w:rPr>
                <w:sz w:val="1"/>
                <w:szCs w:val="1"/>
                <w:color w:val="auto"/>
              </w:rPr>
            </w:pPr>
          </w:p>
        </w:tc>
      </w:tr>
      <w:tr>
        <w:trPr>
          <w:trHeight w:val="96"/>
        </w:trPr>
        <w:tc>
          <w:tcPr>
            <w:tcW w:w="2200" w:type="dxa"/>
            <w:vAlign w:val="bottom"/>
            <w:tcBorders>
              <w:left w:val="single" w:sz="8" w:color="auto"/>
              <w:right w:val="single" w:sz="8" w:color="auto"/>
            </w:tcBorders>
          </w:tcPr>
          <w:p>
            <w:pPr>
              <w:jc w:val="center"/>
              <w:ind w:left="52"/>
              <w:spacing w:after="0" w:line="96" w:lineRule="exact"/>
              <w:rPr>
                <w:sz w:val="20"/>
                <w:szCs w:val="20"/>
                <w:color w:val="auto"/>
              </w:rPr>
            </w:pPr>
            <w:r>
              <w:rPr>
                <w:rFonts w:ascii="Times New Roman" w:cs="Times New Roman" w:eastAsia="Times New Roman" w:hAnsi="Times New Roman"/>
                <w:sz w:val="10"/>
                <w:szCs w:val="10"/>
                <w:color w:val="auto"/>
                <w:w w:val="95"/>
              </w:rPr>
              <w:t>3.875% Guaranteed Notes due 2028</w:t>
            </w:r>
          </w:p>
        </w:tc>
        <w:tc>
          <w:tcPr>
            <w:tcW w:w="2080" w:type="dxa"/>
            <w:vAlign w:val="bottom"/>
            <w:tcBorders>
              <w:right w:val="single" w:sz="8" w:color="auto"/>
            </w:tcBorders>
          </w:tcPr>
          <w:p>
            <w:pPr>
              <w:jc w:val="center"/>
              <w:spacing w:after="0" w:line="96" w:lineRule="exact"/>
              <w:rPr>
                <w:sz w:val="20"/>
                <w:szCs w:val="20"/>
                <w:color w:val="auto"/>
              </w:rPr>
            </w:pPr>
            <w:r>
              <w:rPr>
                <w:rFonts w:ascii="Times New Roman" w:cs="Times New Roman" w:eastAsia="Times New Roman" w:hAnsi="Times New Roman"/>
                <w:sz w:val="10"/>
                <w:szCs w:val="10"/>
                <w:color w:val="auto"/>
                <w:w w:val="94"/>
              </w:rPr>
              <w:t>Regulation S: U8209LAA0</w:t>
            </w:r>
          </w:p>
        </w:tc>
        <w:tc>
          <w:tcPr>
            <w:tcW w:w="2080" w:type="dxa"/>
            <w:vAlign w:val="bottom"/>
            <w:tcBorders>
              <w:right w:val="single" w:sz="8" w:color="auto"/>
            </w:tcBorders>
            <w:vMerge w:val="restart"/>
          </w:tcPr>
          <w:p>
            <w:pPr>
              <w:jc w:val="center"/>
              <w:ind w:left="12"/>
              <w:spacing w:after="0"/>
              <w:rPr>
                <w:sz w:val="20"/>
                <w:szCs w:val="20"/>
                <w:color w:val="auto"/>
              </w:rPr>
            </w:pPr>
            <w:r>
              <w:rPr>
                <w:rFonts w:ascii="Times New Roman" w:cs="Times New Roman" w:eastAsia="Times New Roman" w:hAnsi="Times New Roman"/>
                <w:sz w:val="10"/>
                <w:szCs w:val="10"/>
                <w:color w:val="auto"/>
                <w:w w:val="94"/>
              </w:rPr>
              <w:t>$ 920,732,000</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November 13, 2025</w:t>
            </w:r>
          </w:p>
        </w:tc>
        <w:tc>
          <w:tcPr>
            <w:tcW w:w="0" w:type="dxa"/>
            <w:vAlign w:val="bottom"/>
          </w:tcPr>
          <w:p>
            <w:pPr>
              <w:spacing w:after="0"/>
              <w:rPr>
                <w:sz w:val="1"/>
                <w:szCs w:val="1"/>
                <w:color w:val="auto"/>
              </w:rPr>
            </w:pPr>
          </w:p>
        </w:tc>
      </w:tr>
      <w:tr>
        <w:trPr>
          <w:trHeight w:val="72"/>
        </w:trPr>
        <w:tc>
          <w:tcPr>
            <w:tcW w:w="2200" w:type="dxa"/>
            <w:vAlign w:val="bottom"/>
            <w:tcBorders>
              <w:left w:val="single" w:sz="8" w:color="auto"/>
              <w:right w:val="single" w:sz="8" w:color="auto"/>
            </w:tcBorders>
          </w:tcPr>
          <w:p>
            <w:pPr>
              <w:spacing w:after="0"/>
              <w:rPr>
                <w:sz w:val="6"/>
                <w:szCs w:val="6"/>
                <w:color w:val="auto"/>
              </w:rPr>
            </w:pPr>
          </w:p>
        </w:tc>
        <w:tc>
          <w:tcPr>
            <w:tcW w:w="2080" w:type="dxa"/>
            <w:vAlign w:val="bottom"/>
            <w:tcBorders>
              <w:right w:val="single" w:sz="8" w:color="auto"/>
            </w:tcBorders>
            <w:vMerge w:val="restart"/>
          </w:tcPr>
          <w:p>
            <w:pPr>
              <w:jc w:val="center"/>
              <w:ind w:left="12"/>
              <w:spacing w:after="0"/>
              <w:rPr>
                <w:sz w:val="20"/>
                <w:szCs w:val="20"/>
                <w:color w:val="auto"/>
              </w:rPr>
            </w:pPr>
            <w:r>
              <w:rPr>
                <w:rFonts w:ascii="Times New Roman" w:cs="Times New Roman" w:eastAsia="Times New Roman" w:hAnsi="Times New Roman"/>
                <w:sz w:val="10"/>
                <w:szCs w:val="10"/>
                <w:color w:val="auto"/>
                <w:w w:val="96"/>
              </w:rPr>
              <w:t>Rule 144A: 822905AR6</w:t>
            </w:r>
          </w:p>
        </w:tc>
        <w:tc>
          <w:tcPr>
            <w:tcW w:w="208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200" w:type="dxa"/>
            <w:vAlign w:val="bottom"/>
            <w:tcBorders>
              <w:left w:val="single" w:sz="8" w:color="auto"/>
              <w:right w:val="single" w:sz="8" w:color="auto"/>
            </w:tcBorders>
          </w:tcPr>
          <w:p>
            <w:pPr>
              <w:spacing w:after="0"/>
              <w:rPr>
                <w:sz w:val="4"/>
                <w:szCs w:val="4"/>
                <w:color w:val="auto"/>
              </w:rPr>
            </w:pPr>
          </w:p>
        </w:tc>
        <w:tc>
          <w:tcPr>
            <w:tcW w:w="2080" w:type="dxa"/>
            <w:vAlign w:val="bottom"/>
            <w:tcBorders>
              <w:right w:val="single" w:sz="8" w:color="auto"/>
            </w:tcBorders>
            <w:vMerge w:val="continue"/>
          </w:tcPr>
          <w:p>
            <w:pPr>
              <w:spacing w:after="0"/>
              <w:rPr>
                <w:sz w:val="4"/>
                <w:szCs w:val="4"/>
                <w:color w:val="auto"/>
              </w:rPr>
            </w:pPr>
          </w:p>
        </w:tc>
        <w:tc>
          <w:tcPr>
            <w:tcW w:w="2080" w:type="dxa"/>
            <w:vAlign w:val="bottom"/>
            <w:tcBorders>
              <w:right w:val="single" w:sz="8" w:color="auto"/>
            </w:tcBorders>
          </w:tcPr>
          <w:p>
            <w:pPr>
              <w:spacing w:after="0"/>
              <w:rPr>
                <w:sz w:val="4"/>
                <w:szCs w:val="4"/>
                <w:color w:val="auto"/>
              </w:rPr>
            </w:pPr>
          </w:p>
        </w:tc>
        <w:tc>
          <w:tcPr>
            <w:tcW w:w="1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2200" w:type="dxa"/>
            <w:vAlign w:val="bottom"/>
            <w:tcBorders>
              <w:left w:val="single" w:sz="8" w:color="auto"/>
              <w:right w:val="single" w:sz="8" w:color="auto"/>
            </w:tcBorders>
          </w:tcPr>
          <w:p>
            <w:pPr>
              <w:jc w:val="center"/>
              <w:ind w:left="52"/>
              <w:spacing w:after="0" w:line="90" w:lineRule="exact"/>
              <w:rPr>
                <w:sz w:val="20"/>
                <w:szCs w:val="20"/>
                <w:color w:val="auto"/>
              </w:rPr>
            </w:pPr>
            <w:r>
              <w:rPr>
                <w:rFonts w:ascii="Times New Roman" w:cs="Times New Roman" w:eastAsia="Times New Roman" w:hAnsi="Times New Roman"/>
                <w:sz w:val="10"/>
                <w:szCs w:val="10"/>
                <w:color w:val="auto"/>
                <w:w w:val="95"/>
              </w:rPr>
              <w:t>6.375% Guaranteed Notes due 2038</w:t>
            </w:r>
          </w:p>
        </w:tc>
        <w:tc>
          <w:tcPr>
            <w:tcW w:w="208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10"/>
                <w:szCs w:val="10"/>
                <w:color w:val="auto"/>
                <w:w w:val="94"/>
              </w:rPr>
              <w:t>Regulation S: U8209LAB8</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color w:val="auto"/>
                <w:w w:val="92"/>
              </w:rPr>
              <w:t>$ 2,063,148,000</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color w:val="auto"/>
                <w:w w:val="93"/>
              </w:rPr>
              <w:t>June 15, 2025</w:t>
            </w:r>
          </w:p>
        </w:tc>
        <w:tc>
          <w:tcPr>
            <w:tcW w:w="0" w:type="dxa"/>
            <w:vAlign w:val="bottom"/>
          </w:tcPr>
          <w:p>
            <w:pPr>
              <w:spacing w:after="0"/>
              <w:rPr>
                <w:sz w:val="1"/>
                <w:szCs w:val="1"/>
                <w:color w:val="auto"/>
              </w:rPr>
            </w:pPr>
          </w:p>
        </w:tc>
      </w:tr>
      <w:tr>
        <w:trPr>
          <w:trHeight w:val="72"/>
        </w:trPr>
        <w:tc>
          <w:tcPr>
            <w:tcW w:w="2200" w:type="dxa"/>
            <w:vAlign w:val="bottom"/>
            <w:tcBorders>
              <w:left w:val="single" w:sz="8" w:color="auto"/>
              <w:right w:val="single" w:sz="8" w:color="auto"/>
            </w:tcBorders>
          </w:tcPr>
          <w:p>
            <w:pPr>
              <w:spacing w:after="0"/>
              <w:rPr>
                <w:sz w:val="6"/>
                <w:szCs w:val="6"/>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Rule 144A: 822905AT2</w:t>
            </w:r>
          </w:p>
        </w:tc>
        <w:tc>
          <w:tcPr>
            <w:tcW w:w="208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200" w:type="dxa"/>
            <w:vAlign w:val="bottom"/>
            <w:tcBorders>
              <w:left w:val="single" w:sz="8" w:color="auto"/>
              <w:right w:val="single" w:sz="8" w:color="auto"/>
            </w:tcBorders>
          </w:tcPr>
          <w:p>
            <w:pPr>
              <w:spacing w:after="0"/>
              <w:rPr>
                <w:sz w:val="4"/>
                <w:szCs w:val="4"/>
                <w:color w:val="auto"/>
              </w:rPr>
            </w:pPr>
          </w:p>
        </w:tc>
        <w:tc>
          <w:tcPr>
            <w:tcW w:w="2080" w:type="dxa"/>
            <w:vAlign w:val="bottom"/>
            <w:tcBorders>
              <w:right w:val="single" w:sz="8" w:color="auto"/>
            </w:tcBorders>
            <w:vMerge w:val="continue"/>
          </w:tcPr>
          <w:p>
            <w:pPr>
              <w:spacing w:after="0"/>
              <w:rPr>
                <w:sz w:val="4"/>
                <w:szCs w:val="4"/>
                <w:color w:val="auto"/>
              </w:rPr>
            </w:pPr>
          </w:p>
        </w:tc>
        <w:tc>
          <w:tcPr>
            <w:tcW w:w="2080" w:type="dxa"/>
            <w:vAlign w:val="bottom"/>
            <w:tcBorders>
              <w:right w:val="single" w:sz="8" w:color="auto"/>
            </w:tcBorders>
          </w:tcPr>
          <w:p>
            <w:pPr>
              <w:spacing w:after="0"/>
              <w:rPr>
                <w:sz w:val="4"/>
                <w:szCs w:val="4"/>
                <w:color w:val="auto"/>
              </w:rPr>
            </w:pPr>
          </w:p>
        </w:tc>
        <w:tc>
          <w:tcPr>
            <w:tcW w:w="1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2200" w:type="dxa"/>
            <w:vAlign w:val="bottom"/>
            <w:tcBorders>
              <w:left w:val="single" w:sz="8" w:color="auto"/>
              <w:right w:val="single" w:sz="8" w:color="auto"/>
            </w:tcBorders>
          </w:tcPr>
          <w:p>
            <w:pPr>
              <w:jc w:val="center"/>
              <w:ind w:left="52"/>
              <w:spacing w:after="0" w:line="90" w:lineRule="exact"/>
              <w:rPr>
                <w:sz w:val="20"/>
                <w:szCs w:val="20"/>
                <w:color w:val="auto"/>
              </w:rPr>
            </w:pPr>
            <w:r>
              <w:rPr>
                <w:rFonts w:ascii="Times New Roman" w:cs="Times New Roman" w:eastAsia="Times New Roman" w:hAnsi="Times New Roman"/>
                <w:sz w:val="10"/>
                <w:szCs w:val="10"/>
                <w:color w:val="auto"/>
                <w:w w:val="95"/>
              </w:rPr>
              <w:t>5.500% Guaranteed Notes due 2040</w:t>
            </w:r>
          </w:p>
        </w:tc>
        <w:tc>
          <w:tcPr>
            <w:tcW w:w="208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10"/>
                <w:szCs w:val="10"/>
                <w:color w:val="auto"/>
                <w:w w:val="94"/>
              </w:rPr>
              <w:t>Regulation S: U8209LAC6</w:t>
            </w:r>
          </w:p>
        </w:tc>
        <w:tc>
          <w:tcPr>
            <w:tcW w:w="2080" w:type="dxa"/>
            <w:vAlign w:val="bottom"/>
            <w:tcBorders>
              <w:right w:val="single" w:sz="8" w:color="auto"/>
            </w:tcBorders>
            <w:vMerge w:val="restart"/>
          </w:tcPr>
          <w:p>
            <w:pPr>
              <w:jc w:val="center"/>
              <w:ind w:left="12"/>
              <w:spacing w:after="0"/>
              <w:rPr>
                <w:sz w:val="20"/>
                <w:szCs w:val="20"/>
                <w:color w:val="auto"/>
              </w:rPr>
            </w:pPr>
            <w:r>
              <w:rPr>
                <w:rFonts w:ascii="Times New Roman" w:cs="Times New Roman" w:eastAsia="Times New Roman" w:hAnsi="Times New Roman"/>
                <w:sz w:val="10"/>
                <w:szCs w:val="10"/>
                <w:color w:val="auto"/>
                <w:w w:val="94"/>
              </w:rPr>
              <w:t>$ 802,108,000</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September 25, 2025</w:t>
            </w:r>
          </w:p>
        </w:tc>
        <w:tc>
          <w:tcPr>
            <w:tcW w:w="0" w:type="dxa"/>
            <w:vAlign w:val="bottom"/>
          </w:tcPr>
          <w:p>
            <w:pPr>
              <w:spacing w:after="0"/>
              <w:rPr>
                <w:sz w:val="1"/>
                <w:szCs w:val="1"/>
                <w:color w:val="auto"/>
              </w:rPr>
            </w:pPr>
          </w:p>
        </w:tc>
      </w:tr>
      <w:tr>
        <w:trPr>
          <w:trHeight w:val="72"/>
        </w:trPr>
        <w:tc>
          <w:tcPr>
            <w:tcW w:w="2200" w:type="dxa"/>
            <w:vAlign w:val="bottom"/>
            <w:tcBorders>
              <w:left w:val="single" w:sz="8" w:color="auto"/>
              <w:right w:val="single" w:sz="8" w:color="auto"/>
            </w:tcBorders>
          </w:tcPr>
          <w:p>
            <w:pPr>
              <w:spacing w:after="0"/>
              <w:rPr>
                <w:sz w:val="6"/>
                <w:szCs w:val="6"/>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color w:val="auto"/>
                <w:w w:val="93"/>
              </w:rPr>
              <w:t>Rule 144A: 822905AV7</w:t>
            </w:r>
          </w:p>
        </w:tc>
        <w:tc>
          <w:tcPr>
            <w:tcW w:w="208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200" w:type="dxa"/>
            <w:vAlign w:val="bottom"/>
            <w:tcBorders>
              <w:left w:val="single" w:sz="8" w:color="auto"/>
              <w:right w:val="single" w:sz="8" w:color="auto"/>
            </w:tcBorders>
          </w:tcPr>
          <w:p>
            <w:pPr>
              <w:spacing w:after="0"/>
              <w:rPr>
                <w:sz w:val="4"/>
                <w:szCs w:val="4"/>
                <w:color w:val="auto"/>
              </w:rPr>
            </w:pPr>
          </w:p>
        </w:tc>
        <w:tc>
          <w:tcPr>
            <w:tcW w:w="2080" w:type="dxa"/>
            <w:vAlign w:val="bottom"/>
            <w:tcBorders>
              <w:right w:val="single" w:sz="8" w:color="auto"/>
            </w:tcBorders>
            <w:vMerge w:val="continue"/>
          </w:tcPr>
          <w:p>
            <w:pPr>
              <w:spacing w:after="0"/>
              <w:rPr>
                <w:sz w:val="4"/>
                <w:szCs w:val="4"/>
                <w:color w:val="auto"/>
              </w:rPr>
            </w:pPr>
          </w:p>
        </w:tc>
        <w:tc>
          <w:tcPr>
            <w:tcW w:w="2080" w:type="dxa"/>
            <w:vAlign w:val="bottom"/>
            <w:tcBorders>
              <w:right w:val="single" w:sz="8" w:color="auto"/>
            </w:tcBorders>
          </w:tcPr>
          <w:p>
            <w:pPr>
              <w:spacing w:after="0"/>
              <w:rPr>
                <w:sz w:val="4"/>
                <w:szCs w:val="4"/>
                <w:color w:val="auto"/>
              </w:rPr>
            </w:pPr>
          </w:p>
        </w:tc>
        <w:tc>
          <w:tcPr>
            <w:tcW w:w="1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2200" w:type="dxa"/>
            <w:vAlign w:val="bottom"/>
            <w:tcBorders>
              <w:left w:val="single" w:sz="8" w:color="auto"/>
              <w:right w:val="single" w:sz="8" w:color="auto"/>
            </w:tcBorders>
          </w:tcPr>
          <w:p>
            <w:pPr>
              <w:jc w:val="center"/>
              <w:ind w:left="52"/>
              <w:spacing w:after="0" w:line="90" w:lineRule="exact"/>
              <w:rPr>
                <w:sz w:val="20"/>
                <w:szCs w:val="20"/>
                <w:color w:val="auto"/>
              </w:rPr>
            </w:pPr>
            <w:r>
              <w:rPr>
                <w:rFonts w:ascii="Times New Roman" w:cs="Times New Roman" w:eastAsia="Times New Roman" w:hAnsi="Times New Roman"/>
                <w:sz w:val="10"/>
                <w:szCs w:val="10"/>
                <w:color w:val="auto"/>
                <w:w w:val="95"/>
              </w:rPr>
              <w:t>5.125% Guaranteed Notes due 2041</w:t>
            </w:r>
          </w:p>
        </w:tc>
        <w:tc>
          <w:tcPr>
            <w:tcW w:w="208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10"/>
                <w:szCs w:val="10"/>
                <w:color w:val="auto"/>
                <w:w w:val="94"/>
              </w:rPr>
              <w:t>Regulation S: U8209LAD4</w:t>
            </w:r>
          </w:p>
        </w:tc>
        <w:tc>
          <w:tcPr>
            <w:tcW w:w="2080" w:type="dxa"/>
            <w:vAlign w:val="bottom"/>
            <w:tcBorders>
              <w:right w:val="single" w:sz="8" w:color="auto"/>
            </w:tcBorders>
            <w:vMerge w:val="restart"/>
          </w:tcPr>
          <w:p>
            <w:pPr>
              <w:jc w:val="center"/>
              <w:ind w:left="12"/>
              <w:spacing w:after="0"/>
              <w:rPr>
                <w:sz w:val="20"/>
                <w:szCs w:val="20"/>
                <w:color w:val="auto"/>
              </w:rPr>
            </w:pPr>
            <w:r>
              <w:rPr>
                <w:rFonts w:ascii="Times New Roman" w:cs="Times New Roman" w:eastAsia="Times New Roman" w:hAnsi="Times New Roman"/>
                <w:sz w:val="10"/>
                <w:szCs w:val="10"/>
                <w:color w:val="auto"/>
                <w:w w:val="94"/>
              </w:rPr>
              <w:t>$ 691,199,000</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October 15, 2025</w:t>
            </w:r>
          </w:p>
        </w:tc>
        <w:tc>
          <w:tcPr>
            <w:tcW w:w="0" w:type="dxa"/>
            <w:vAlign w:val="bottom"/>
          </w:tcPr>
          <w:p>
            <w:pPr>
              <w:spacing w:after="0"/>
              <w:rPr>
                <w:sz w:val="1"/>
                <w:szCs w:val="1"/>
                <w:color w:val="auto"/>
              </w:rPr>
            </w:pPr>
          </w:p>
        </w:tc>
      </w:tr>
      <w:tr>
        <w:trPr>
          <w:trHeight w:val="72"/>
        </w:trPr>
        <w:tc>
          <w:tcPr>
            <w:tcW w:w="2200" w:type="dxa"/>
            <w:vAlign w:val="bottom"/>
            <w:tcBorders>
              <w:left w:val="single" w:sz="8" w:color="auto"/>
              <w:right w:val="single" w:sz="8" w:color="auto"/>
            </w:tcBorders>
          </w:tcPr>
          <w:p>
            <w:pPr>
              <w:spacing w:after="0"/>
              <w:rPr>
                <w:sz w:val="6"/>
                <w:szCs w:val="6"/>
                <w:color w:val="auto"/>
              </w:rPr>
            </w:pPr>
          </w:p>
        </w:tc>
        <w:tc>
          <w:tcPr>
            <w:tcW w:w="2080" w:type="dxa"/>
            <w:vAlign w:val="bottom"/>
            <w:tcBorders>
              <w:right w:val="single" w:sz="8" w:color="auto"/>
            </w:tcBorders>
            <w:vMerge w:val="restart"/>
          </w:tcPr>
          <w:p>
            <w:pPr>
              <w:jc w:val="center"/>
              <w:ind w:left="12"/>
              <w:spacing w:after="0"/>
              <w:rPr>
                <w:sz w:val="20"/>
                <w:szCs w:val="20"/>
                <w:color w:val="auto"/>
              </w:rPr>
            </w:pPr>
            <w:r>
              <w:rPr>
                <w:rFonts w:ascii="Times New Roman" w:cs="Times New Roman" w:eastAsia="Times New Roman" w:hAnsi="Times New Roman"/>
                <w:sz w:val="10"/>
                <w:szCs w:val="10"/>
                <w:color w:val="auto"/>
                <w:w w:val="95"/>
              </w:rPr>
              <w:t>Rule 144A: 822905AX3</w:t>
            </w:r>
          </w:p>
        </w:tc>
        <w:tc>
          <w:tcPr>
            <w:tcW w:w="208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200" w:type="dxa"/>
            <w:vAlign w:val="bottom"/>
            <w:tcBorders>
              <w:left w:val="single" w:sz="8" w:color="auto"/>
              <w:right w:val="single" w:sz="8" w:color="auto"/>
            </w:tcBorders>
          </w:tcPr>
          <w:p>
            <w:pPr>
              <w:spacing w:after="0"/>
              <w:rPr>
                <w:sz w:val="4"/>
                <w:szCs w:val="4"/>
                <w:color w:val="auto"/>
              </w:rPr>
            </w:pPr>
          </w:p>
        </w:tc>
        <w:tc>
          <w:tcPr>
            <w:tcW w:w="2080" w:type="dxa"/>
            <w:vAlign w:val="bottom"/>
            <w:tcBorders>
              <w:right w:val="single" w:sz="8" w:color="auto"/>
            </w:tcBorders>
            <w:vMerge w:val="continue"/>
          </w:tcPr>
          <w:p>
            <w:pPr>
              <w:spacing w:after="0"/>
              <w:rPr>
                <w:sz w:val="4"/>
                <w:szCs w:val="4"/>
                <w:color w:val="auto"/>
              </w:rPr>
            </w:pPr>
          </w:p>
        </w:tc>
        <w:tc>
          <w:tcPr>
            <w:tcW w:w="2080" w:type="dxa"/>
            <w:vAlign w:val="bottom"/>
            <w:tcBorders>
              <w:right w:val="single" w:sz="8" w:color="auto"/>
            </w:tcBorders>
          </w:tcPr>
          <w:p>
            <w:pPr>
              <w:spacing w:after="0"/>
              <w:rPr>
                <w:sz w:val="4"/>
                <w:szCs w:val="4"/>
                <w:color w:val="auto"/>
              </w:rPr>
            </w:pPr>
          </w:p>
        </w:tc>
        <w:tc>
          <w:tcPr>
            <w:tcW w:w="1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2200" w:type="dxa"/>
            <w:vAlign w:val="bottom"/>
            <w:tcBorders>
              <w:left w:val="single" w:sz="8" w:color="auto"/>
              <w:right w:val="single" w:sz="8" w:color="auto"/>
            </w:tcBorders>
          </w:tcPr>
          <w:p>
            <w:pPr>
              <w:jc w:val="center"/>
              <w:ind w:left="52"/>
              <w:spacing w:after="0" w:line="90" w:lineRule="exact"/>
              <w:rPr>
                <w:sz w:val="20"/>
                <w:szCs w:val="20"/>
                <w:color w:val="auto"/>
              </w:rPr>
            </w:pPr>
            <w:r>
              <w:rPr>
                <w:rFonts w:ascii="Times New Roman" w:cs="Times New Roman" w:eastAsia="Times New Roman" w:hAnsi="Times New Roman"/>
                <w:sz w:val="10"/>
                <w:szCs w:val="10"/>
                <w:color w:val="auto"/>
                <w:w w:val="95"/>
              </w:rPr>
              <w:t>3.125% Guaranteed Notes due 2049</w:t>
            </w:r>
          </w:p>
        </w:tc>
        <w:tc>
          <w:tcPr>
            <w:tcW w:w="208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10"/>
                <w:szCs w:val="10"/>
                <w:color w:val="auto"/>
                <w:w w:val="95"/>
              </w:rPr>
              <w:t>Regulation S: U8209LAE2</w:t>
            </w:r>
          </w:p>
        </w:tc>
        <w:tc>
          <w:tcPr>
            <w:tcW w:w="2080" w:type="dxa"/>
            <w:vAlign w:val="bottom"/>
            <w:tcBorders>
              <w:right w:val="single" w:sz="8" w:color="auto"/>
            </w:tcBorders>
            <w:vMerge w:val="restart"/>
          </w:tcPr>
          <w:p>
            <w:pPr>
              <w:jc w:val="center"/>
              <w:ind w:left="12"/>
              <w:spacing w:after="0"/>
              <w:rPr>
                <w:sz w:val="20"/>
                <w:szCs w:val="20"/>
                <w:color w:val="auto"/>
              </w:rPr>
            </w:pPr>
            <w:r>
              <w:rPr>
                <w:rFonts w:ascii="Times New Roman" w:cs="Times New Roman" w:eastAsia="Times New Roman" w:hAnsi="Times New Roman"/>
                <w:sz w:val="10"/>
                <w:szCs w:val="10"/>
                <w:color w:val="auto"/>
                <w:w w:val="94"/>
              </w:rPr>
              <w:t>$ 993,714,000</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November 7, 2025</w:t>
            </w:r>
          </w:p>
        </w:tc>
        <w:tc>
          <w:tcPr>
            <w:tcW w:w="0" w:type="dxa"/>
            <w:vAlign w:val="bottom"/>
          </w:tcPr>
          <w:p>
            <w:pPr>
              <w:spacing w:after="0"/>
              <w:rPr>
                <w:sz w:val="1"/>
                <w:szCs w:val="1"/>
                <w:color w:val="auto"/>
              </w:rPr>
            </w:pPr>
          </w:p>
        </w:tc>
      </w:tr>
      <w:tr>
        <w:trPr>
          <w:trHeight w:val="72"/>
        </w:trPr>
        <w:tc>
          <w:tcPr>
            <w:tcW w:w="2200" w:type="dxa"/>
            <w:vAlign w:val="bottom"/>
            <w:tcBorders>
              <w:left w:val="single" w:sz="8" w:color="auto"/>
              <w:right w:val="single" w:sz="8" w:color="auto"/>
            </w:tcBorders>
          </w:tcPr>
          <w:p>
            <w:pPr>
              <w:spacing w:after="0"/>
              <w:rPr>
                <w:sz w:val="6"/>
                <w:szCs w:val="6"/>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Rule 144A: 822905AZ8</w:t>
            </w:r>
          </w:p>
        </w:tc>
        <w:tc>
          <w:tcPr>
            <w:tcW w:w="208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200" w:type="dxa"/>
            <w:vAlign w:val="bottom"/>
            <w:tcBorders>
              <w:left w:val="single" w:sz="8" w:color="auto"/>
              <w:right w:val="single" w:sz="8" w:color="auto"/>
            </w:tcBorders>
          </w:tcPr>
          <w:p>
            <w:pPr>
              <w:spacing w:after="0"/>
              <w:rPr>
                <w:sz w:val="4"/>
                <w:szCs w:val="4"/>
                <w:color w:val="auto"/>
              </w:rPr>
            </w:pPr>
          </w:p>
        </w:tc>
        <w:tc>
          <w:tcPr>
            <w:tcW w:w="2080" w:type="dxa"/>
            <w:vAlign w:val="bottom"/>
            <w:tcBorders>
              <w:right w:val="single" w:sz="8" w:color="auto"/>
            </w:tcBorders>
            <w:vMerge w:val="continue"/>
          </w:tcPr>
          <w:p>
            <w:pPr>
              <w:spacing w:after="0"/>
              <w:rPr>
                <w:sz w:val="4"/>
                <w:szCs w:val="4"/>
                <w:color w:val="auto"/>
              </w:rPr>
            </w:pPr>
          </w:p>
        </w:tc>
        <w:tc>
          <w:tcPr>
            <w:tcW w:w="2080" w:type="dxa"/>
            <w:vAlign w:val="bottom"/>
            <w:tcBorders>
              <w:right w:val="single" w:sz="8" w:color="auto"/>
            </w:tcBorders>
          </w:tcPr>
          <w:p>
            <w:pPr>
              <w:spacing w:after="0"/>
              <w:rPr>
                <w:sz w:val="4"/>
                <w:szCs w:val="4"/>
                <w:color w:val="auto"/>
              </w:rPr>
            </w:pPr>
          </w:p>
        </w:tc>
        <w:tc>
          <w:tcPr>
            <w:tcW w:w="1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2200" w:type="dxa"/>
            <w:vAlign w:val="bottom"/>
            <w:tcBorders>
              <w:left w:val="single" w:sz="8" w:color="auto"/>
              <w:right w:val="single" w:sz="8" w:color="auto"/>
            </w:tcBorders>
          </w:tcPr>
          <w:p>
            <w:pPr>
              <w:jc w:val="center"/>
              <w:ind w:left="52"/>
              <w:spacing w:after="0" w:line="90" w:lineRule="exact"/>
              <w:rPr>
                <w:sz w:val="20"/>
                <w:szCs w:val="20"/>
                <w:color w:val="auto"/>
              </w:rPr>
            </w:pPr>
            <w:r>
              <w:rPr>
                <w:rFonts w:ascii="Times New Roman" w:cs="Times New Roman" w:eastAsia="Times New Roman" w:hAnsi="Times New Roman"/>
                <w:sz w:val="10"/>
                <w:szCs w:val="10"/>
                <w:color w:val="auto"/>
                <w:w w:val="95"/>
              </w:rPr>
              <w:t>3.000% Guaranteed Notes due 2051</w:t>
            </w:r>
          </w:p>
        </w:tc>
        <w:tc>
          <w:tcPr>
            <w:tcW w:w="2080" w:type="dxa"/>
            <w:vAlign w:val="bottom"/>
            <w:tcBorders>
              <w:right w:val="single" w:sz="8" w:color="auto"/>
            </w:tcBorders>
          </w:tcPr>
          <w:p>
            <w:pPr>
              <w:jc w:val="center"/>
              <w:ind w:left="12"/>
              <w:spacing w:after="0" w:line="90" w:lineRule="exact"/>
              <w:rPr>
                <w:sz w:val="20"/>
                <w:szCs w:val="20"/>
                <w:color w:val="auto"/>
              </w:rPr>
            </w:pPr>
            <w:r>
              <w:rPr>
                <w:rFonts w:ascii="Times New Roman" w:cs="Times New Roman" w:eastAsia="Times New Roman" w:hAnsi="Times New Roman"/>
                <w:sz w:val="10"/>
                <w:szCs w:val="10"/>
                <w:color w:val="auto"/>
                <w:w w:val="94"/>
              </w:rPr>
              <w:t>Regulation S: U8209LAF9</w:t>
            </w:r>
          </w:p>
        </w:tc>
        <w:tc>
          <w:tcPr>
            <w:tcW w:w="2080" w:type="dxa"/>
            <w:vAlign w:val="bottom"/>
            <w:tcBorders>
              <w:right w:val="single" w:sz="8" w:color="auto"/>
            </w:tcBorders>
            <w:vMerge w:val="restart"/>
          </w:tcPr>
          <w:p>
            <w:pPr>
              <w:jc w:val="center"/>
              <w:ind w:left="12"/>
              <w:spacing w:after="0"/>
              <w:rPr>
                <w:sz w:val="20"/>
                <w:szCs w:val="20"/>
                <w:color w:val="auto"/>
              </w:rPr>
            </w:pPr>
            <w:r>
              <w:rPr>
                <w:rFonts w:ascii="Times New Roman" w:cs="Times New Roman" w:eastAsia="Times New Roman" w:hAnsi="Times New Roman"/>
                <w:sz w:val="10"/>
                <w:szCs w:val="10"/>
                <w:color w:val="auto"/>
                <w:w w:val="94"/>
              </w:rPr>
              <w:t>$ 876,828,000</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November 26, 2025</w:t>
            </w:r>
          </w:p>
        </w:tc>
        <w:tc>
          <w:tcPr>
            <w:tcW w:w="0" w:type="dxa"/>
            <w:vAlign w:val="bottom"/>
          </w:tcPr>
          <w:p>
            <w:pPr>
              <w:spacing w:after="0"/>
              <w:rPr>
                <w:sz w:val="1"/>
                <w:szCs w:val="1"/>
                <w:color w:val="auto"/>
              </w:rPr>
            </w:pPr>
          </w:p>
        </w:tc>
      </w:tr>
      <w:tr>
        <w:trPr>
          <w:trHeight w:val="72"/>
        </w:trPr>
        <w:tc>
          <w:tcPr>
            <w:tcW w:w="2200" w:type="dxa"/>
            <w:vAlign w:val="bottom"/>
            <w:tcBorders>
              <w:left w:val="single" w:sz="8" w:color="auto"/>
              <w:right w:val="single" w:sz="8" w:color="auto"/>
            </w:tcBorders>
          </w:tcPr>
          <w:p>
            <w:pPr>
              <w:spacing w:after="0"/>
              <w:rPr>
                <w:sz w:val="6"/>
                <w:szCs w:val="6"/>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Rule 144A: 822905BB0</w:t>
            </w:r>
          </w:p>
        </w:tc>
        <w:tc>
          <w:tcPr>
            <w:tcW w:w="208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200" w:type="dxa"/>
            <w:vAlign w:val="bottom"/>
            <w:tcBorders>
              <w:left w:val="single" w:sz="8" w:color="auto"/>
              <w:right w:val="single" w:sz="8" w:color="auto"/>
            </w:tcBorders>
          </w:tcPr>
          <w:p>
            <w:pPr>
              <w:spacing w:after="0"/>
              <w:rPr>
                <w:sz w:val="4"/>
                <w:szCs w:val="4"/>
                <w:color w:val="auto"/>
              </w:rPr>
            </w:pPr>
          </w:p>
        </w:tc>
        <w:tc>
          <w:tcPr>
            <w:tcW w:w="2080" w:type="dxa"/>
            <w:vAlign w:val="bottom"/>
            <w:tcBorders>
              <w:right w:val="single" w:sz="8" w:color="auto"/>
            </w:tcBorders>
            <w:vMerge w:val="continue"/>
          </w:tcPr>
          <w:p>
            <w:pPr>
              <w:spacing w:after="0"/>
              <w:rPr>
                <w:sz w:val="4"/>
                <w:szCs w:val="4"/>
                <w:color w:val="auto"/>
              </w:rPr>
            </w:pPr>
          </w:p>
        </w:tc>
        <w:tc>
          <w:tcPr>
            <w:tcW w:w="2080" w:type="dxa"/>
            <w:vAlign w:val="bottom"/>
            <w:tcBorders>
              <w:right w:val="single" w:sz="8" w:color="auto"/>
            </w:tcBorders>
          </w:tcPr>
          <w:p>
            <w:pPr>
              <w:spacing w:after="0"/>
              <w:rPr>
                <w:sz w:val="4"/>
                <w:szCs w:val="4"/>
                <w:color w:val="auto"/>
              </w:rPr>
            </w:pPr>
          </w:p>
        </w:tc>
        <w:tc>
          <w:tcPr>
            <w:tcW w:w="1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27" w:right="1440" w:bottom="1440" w:gutter="0" w:footer="0" w:header="0"/>
        </w:sect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204075" cy="31750"/>
                    </a:xfrm>
                    <a:prstGeom prst="rect">
                      <a:avLst/>
                    </a:prstGeom>
                    <a:noFill/>
                  </pic:spPr>
                </pic:pic>
              </a:graphicData>
            </a:graphic>
          </wp:anchor>
        </w:drawing>
      </w:r>
    </w:p>
    <w:bookmarkStart w:id="95" w:name="page96"/>
    <w:bookmarkEnd w:id="95"/>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Exhibit 4.3</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 of Face of Global Security]</w:t>
      </w:r>
    </w:p>
    <w:p>
      <w:pPr>
        <w:spacing w:after="0" w:line="166" w:lineRule="exact"/>
        <w:rPr>
          <w:sz w:val="20"/>
          <w:szCs w:val="20"/>
          <w:color w:val="auto"/>
        </w:rPr>
      </w:pPr>
    </w:p>
    <w:p>
      <w:pPr>
        <w:ind w:left="340" w:right="379"/>
        <w:spacing w:after="0" w:line="250" w:lineRule="auto"/>
        <w:rPr>
          <w:sz w:val="20"/>
          <w:szCs w:val="20"/>
          <w:color w:val="auto"/>
        </w:rPr>
      </w:pPr>
      <w:r>
        <w:rPr>
          <w:rFonts w:ascii="Times New Roman" w:cs="Times New Roman" w:eastAsia="Times New Roman" w:hAnsi="Times New Roman"/>
          <w:sz w:val="14"/>
          <w:szCs w:val="14"/>
          <w:color w:val="auto"/>
        </w:rPr>
        <w:t>THIS SECURITY IS IN GLOBAL FORM WITHIN THE MEANING OF THE INDENTURE HEREINAFTER REFERRED TO AND IS REGISTERED IN THE NAME OF THE DEPOSITORY TRUST COMPANY, A NEW YORK CORPORATION (“DTC”), OR A NOMINEE OF DTC, WHICH MAY BE TREATED BY THE COMPANY, THE GUARANTOR, THE TRUSTEE AND ANY AGENT THEREOF AS OWNER AND HOLDER OF THIS SECURITY FOR ALL PURPOSES.</w:t>
      </w:r>
    </w:p>
    <w:p>
      <w:pPr>
        <w:spacing w:after="0" w:line="145" w:lineRule="exact"/>
        <w:rPr>
          <w:sz w:val="20"/>
          <w:szCs w:val="20"/>
          <w:color w:val="auto"/>
        </w:rPr>
      </w:pPr>
    </w:p>
    <w:p>
      <w:pPr>
        <w:ind w:left="340" w:right="439"/>
        <w:spacing w:after="0" w:line="247" w:lineRule="auto"/>
        <w:rPr>
          <w:sz w:val="20"/>
          <w:szCs w:val="20"/>
          <w:color w:val="auto"/>
        </w:rPr>
      </w:pPr>
      <w:r>
        <w:rPr>
          <w:rFonts w:ascii="Times New Roman" w:cs="Times New Roman" w:eastAsia="Times New Roman" w:hAnsi="Times New Roman"/>
          <w:sz w:val="14"/>
          <w:szCs w:val="14"/>
          <w:color w:val="auto"/>
        </w:rPr>
        <w:t>UNLESS THIS CERTIFICATE IS PRESENTED BY AN AUTHORIZED REPRESENTATIVE OF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49" w:lineRule="exact"/>
        <w:rPr>
          <w:sz w:val="20"/>
          <w:szCs w:val="20"/>
          <w:color w:val="auto"/>
        </w:rPr>
      </w:pPr>
    </w:p>
    <w:p>
      <w:pPr>
        <w:ind w:left="340" w:right="399"/>
        <w:spacing w:after="0" w:line="250" w:lineRule="auto"/>
        <w:rPr>
          <w:sz w:val="20"/>
          <w:szCs w:val="20"/>
          <w:color w:val="auto"/>
        </w:rPr>
      </w:pPr>
      <w:r>
        <w:rPr>
          <w:rFonts w:ascii="Times New Roman" w:cs="Times New Roman" w:eastAsia="Times New Roman" w:hAnsi="Times New Roman"/>
          <w:sz w:val="14"/>
          <w:szCs w:val="14"/>
          <w:color w:val="auto"/>
        </w:rPr>
        <w:t>UNLESS AND UNTIL IT IS EXCHANGED IN WHOLE OR IN PART FOR SECURITIES IN DEFINITIVE FORM IN THE LIMITED CIRCUMSTANCES REFERRED TO IN THE INDENTURE, THIS GLOBAL SECURITY MAY NOT BE TRANSFERRED EXCEPT AS A WHOLE BY (I) DTC TO A NOMINEE OF DTC OR (II) A NOMINEE OF DTC TO DTC OR ANOTHER NOMINEE OF DTC OR (III) DTC OR ANY SUCH NOMINEE TO A SUCCESSOR DEPOSITARY OR A NOMINEE OF SUCH SUCCESSOR DEPOSITARY.</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[Insert any legend required by the Internal Revenue Code and the regulations thereunder.]</w:t>
      </w:r>
    </w:p>
    <w:p>
      <w:pPr>
        <w:sectPr>
          <w:pgSz w:w="11900" w:h="16838" w:orient="portrait"/>
          <w:cols w:equalWidth="0" w:num="1">
            <w:col w:w="9019"/>
          </w:cols>
          <w:pgMar w:left="1440" w:top="123" w:right="1440"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SHELL FINANCE US INC.</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[Title of Security]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Payment of Principal[, Premium, if any,]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and Interest Fully and Unconditionally Guaranteed by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SHELL PLC</w:t>
      </w:r>
    </w:p>
    <w:p>
      <w:pPr>
        <w:spacing w:after="0" w:line="174" w:lineRule="exact"/>
        <w:rPr>
          <w:sz w:val="20"/>
          <w:szCs w:val="20"/>
          <w:color w:val="auto"/>
        </w:rPr>
      </w:pPr>
    </w:p>
    <w:p>
      <w:pPr>
        <w:ind w:left="340"/>
        <w:spacing w:after="0"/>
        <w:tabs>
          <w:tab w:leader="none" w:pos="7760" w:val="left"/>
        </w:tabs>
        <w:rPr>
          <w:sz w:val="20"/>
          <w:szCs w:val="20"/>
          <w:color w:val="auto"/>
        </w:rPr>
      </w:pPr>
      <w:r>
        <w:rPr>
          <w:rFonts w:ascii="Times New Roman" w:cs="Times New Roman" w:eastAsia="Times New Roman" w:hAnsi="Times New Roman"/>
          <w:sz w:val="14"/>
          <w:szCs w:val="14"/>
          <w:color w:val="auto"/>
        </w:rPr>
        <w:t>No.___</w:t>
      </w:r>
      <w:r>
        <w:rPr>
          <w:sz w:val="20"/>
          <w:szCs w:val="20"/>
          <w:color w:val="auto"/>
        </w:rPr>
        <w:tab/>
      </w:r>
      <w:r>
        <w:rPr>
          <w:rFonts w:ascii="Times New Roman" w:cs="Times New Roman" w:eastAsia="Times New Roman" w:hAnsi="Times New Roman"/>
          <w:sz w:val="12"/>
          <w:szCs w:val="12"/>
          <w:color w:val="auto"/>
        </w:rPr>
        <w:t>CUSIP NO. ___</w:t>
      </w:r>
    </w:p>
    <w:p>
      <w:pPr>
        <w:spacing w:after="0" w:line="166" w:lineRule="exact"/>
        <w:rPr>
          <w:sz w:val="20"/>
          <w:szCs w:val="20"/>
          <w:color w:val="auto"/>
        </w:rPr>
      </w:pPr>
    </w:p>
    <w:p>
      <w:pPr>
        <w:ind w:left="340" w:right="359"/>
        <w:spacing w:after="0" w:line="288" w:lineRule="auto"/>
        <w:rPr>
          <w:sz w:val="20"/>
          <w:szCs w:val="20"/>
          <w:color w:val="auto"/>
        </w:rPr>
      </w:pPr>
      <w:r>
        <w:rPr>
          <w:rFonts w:ascii="Times New Roman" w:cs="Times New Roman" w:eastAsia="Times New Roman" w:hAnsi="Times New Roman"/>
          <w:sz w:val="12"/>
          <w:szCs w:val="12"/>
          <w:color w:val="auto"/>
        </w:rPr>
        <w:t>SHELL FINANCE US INC., a Delaware corporation (herein called the “Issuer”, which term includes any successor Person under the Indenture hereinafter referred to), for value received, hereby promises to pay to CEDE &amp; CO., or registered assigns, the principal sum of ___ on ___ to the person in whose name this Note is registered at the close of business 15 calendar days preceding such ___ [if the Security is to bear interest prior to Maturity, insert —, and to pay interest thereon from ___, 20___ or from the most recent Interest Payment Date to which interest has been paid or duly provided for, semi-annually in arrears on ___ and ___ in each year] [annually in arrears on ___ in each year], commencing ___, 20___, at the rate of ___% per annum, until the principal hereof is paid or made available for payment [if applicable, insert —, provided that any principal and premium, and any such installment of interest, which is overdue shall bear interest at the rate of ___% per annum (to the extent that the payment of such interest shall be legally enforceable), from the dates such amounts are due until they are paid or made available for payment, and such interest shall be payable on demand].] [If the Security is not to bear interest prior to Maturity, insert — The principal of this Security shall not bear interest except in the case of a default in payment of principal upon acceleration, upon redemption or at Stated Maturity, and in such case the overdue principal and any overdue premium shall bear interest at the rate of ___% per annum (to the extent that the payment of such interest shall be legally enforceable), from the date such amounts are due until they are paid or made available for payment. Interest on any overdue principal shall be payable on demand. Any such interest on any overdue principal or premium which is not so paid on demand shall bear interest at the rate of ___% per annum (to the extent that the payment of such interest on interest shall be legally enforceable), from the date of such demand until the amount so demanded is paid or made available for payment. Interest on overdue interest shall be payable on demand.] [The Trustee shall act as Paying Agent with respect to the Securities of this series.]</w:t>
      </w:r>
    </w:p>
    <w:p>
      <w:pPr>
        <w:spacing w:after="0" w:line="294" w:lineRule="exact"/>
        <w:rPr>
          <w:sz w:val="20"/>
          <w:szCs w:val="20"/>
          <w:color w:val="auto"/>
        </w:rPr>
      </w:pPr>
    </w:p>
    <w:p>
      <w:pPr>
        <w:jc w:val="both"/>
        <w:ind w:left="340" w:right="439"/>
        <w:spacing w:after="0" w:line="253" w:lineRule="auto"/>
        <w:rPr>
          <w:sz w:val="20"/>
          <w:szCs w:val="20"/>
          <w:color w:val="auto"/>
        </w:rPr>
      </w:pPr>
      <w:r>
        <w:rPr>
          <w:rFonts w:ascii="Times New Roman" w:cs="Times New Roman" w:eastAsia="Times New Roman" w:hAnsi="Times New Roman"/>
          <w:sz w:val="14"/>
          <w:szCs w:val="14"/>
          <w:color w:val="auto"/>
        </w:rPr>
        <w:t>The Issuer, the Guarantor, the Trustee and any agent of the Issuer, the Guarantor or the Trustee may treat the bearer hereof as the owner of this Security for all purposes, whether or not this Security shall be overdue, and none of the Issuer, the Guarantor, the Trustee nor any such agent shall be affected by notice to the contrary.</w:t>
      </w:r>
    </w:p>
    <w:p>
      <w:pPr>
        <w:spacing w:after="0" w:line="144" w:lineRule="exact"/>
        <w:rPr>
          <w:sz w:val="20"/>
          <w:szCs w:val="20"/>
          <w:color w:val="auto"/>
        </w:rPr>
      </w:pPr>
    </w:p>
    <w:p>
      <w:pPr>
        <w:ind w:left="340" w:right="519"/>
        <w:spacing w:after="0" w:line="264" w:lineRule="auto"/>
        <w:rPr>
          <w:sz w:val="20"/>
          <w:szCs w:val="20"/>
          <w:color w:val="auto"/>
        </w:rPr>
      </w:pPr>
      <w:r>
        <w:rPr>
          <w:rFonts w:ascii="Times New Roman" w:cs="Times New Roman" w:eastAsia="Times New Roman" w:hAnsi="Times New Roman"/>
          <w:sz w:val="14"/>
          <w:szCs w:val="14"/>
          <w:color w:val="auto"/>
        </w:rPr>
        <w:t>The Guarantor has fully and unconditionally guaranteed the obligation of the Issuer under this Security on the terms specified in the below mentioned Indenture.</w:t>
      </w:r>
    </w:p>
    <w:p>
      <w:pPr>
        <w:spacing w:after="0" w:line="136" w:lineRule="exact"/>
        <w:rPr>
          <w:sz w:val="20"/>
          <w:szCs w:val="20"/>
          <w:color w:val="auto"/>
        </w:rPr>
      </w:pPr>
    </w:p>
    <w:p>
      <w:pPr>
        <w:ind w:left="340" w:right="539"/>
        <w:spacing w:after="0" w:line="264" w:lineRule="auto"/>
        <w:rPr>
          <w:sz w:val="20"/>
          <w:szCs w:val="20"/>
          <w:color w:val="auto"/>
        </w:rPr>
      </w:pPr>
      <w:r>
        <w:rPr>
          <w:rFonts w:ascii="Times New Roman" w:cs="Times New Roman" w:eastAsia="Times New Roman" w:hAnsi="Times New Roman"/>
          <w:sz w:val="14"/>
          <w:szCs w:val="14"/>
          <w:color w:val="auto"/>
        </w:rPr>
        <w:t>Reference is hereby made to the further provisions of this Security set forth on the reverse hereof, which further provisions shall for all purposes have the same effect as if set forth at this place.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9" w:right="1440" w:bottom="1440" w:gutter="0" w:footer="0" w:header="0"/>
        </w:sectPr>
      </w:pPr>
    </w:p>
    <w:bookmarkStart w:id="97" w:name="page98"/>
    <w:bookmarkEnd w:id="97"/>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204075" cy="31750"/>
                    </a:xfrm>
                    <a:prstGeom prst="rect">
                      <a:avLst/>
                    </a:prstGeom>
                    <a:noFill/>
                  </pic:spPr>
                </pic:pic>
              </a:graphicData>
            </a:graphic>
          </wp:anchor>
        </w:drawing>
        <w:t>All terms used in this Security which are defined in the Indenture shall have the meanings assigned to them in the Indenture.</w:t>
      </w:r>
    </w:p>
    <w:p>
      <w:pPr>
        <w:spacing w:after="0" w:line="166" w:lineRule="exact"/>
        <w:rPr>
          <w:sz w:val="20"/>
          <w:szCs w:val="20"/>
          <w:color w:val="auto"/>
        </w:rPr>
      </w:pPr>
    </w:p>
    <w:p>
      <w:pPr>
        <w:ind w:left="340" w:right="499"/>
        <w:spacing w:after="0" w:line="253" w:lineRule="auto"/>
        <w:rPr>
          <w:sz w:val="20"/>
          <w:szCs w:val="20"/>
          <w:color w:val="auto"/>
        </w:rPr>
      </w:pPr>
      <w:r>
        <w:rPr>
          <w:rFonts w:ascii="Times New Roman" w:cs="Times New Roman" w:eastAsia="Times New Roman" w:hAnsi="Times New Roman"/>
          <w:sz w:val="14"/>
          <w:szCs w:val="14"/>
          <w:color w:val="auto"/>
        </w:rPr>
        <w:t>Unless the certificate of authentication hereon has been executed by the Trustee referred to on the reverse hereof, directly or through an authenticating agent, by signature of an authorized signatory, this Security shall not be entitled to any benefit under the Indenture or be valid or obligatory for any purpose.</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IN WITNESS WHEREOF, the Issuer has caused this instrument to be duly executed manually, electronically or in facsimile.</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Dated:</w:t>
      </w:r>
    </w:p>
    <w:p>
      <w:pPr>
        <w:spacing w:after="0" w:line="27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SHELL FINANCE US INC.</w:t>
      </w:r>
    </w:p>
    <w:p>
      <w:pPr>
        <w:spacing w:after="0" w:line="24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9525</wp:posOffset>
            </wp:positionV>
            <wp:extent cx="193738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1937385" cy="635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Name:</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Title:</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This is one of the Securities of the series designated therein referred to in the within-mentioned Indenture.</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DEUTSCHE BANK TRUST COMPANY AMERICAS, as Trustee</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9525</wp:posOffset>
            </wp:positionV>
            <wp:extent cx="216408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2164080" cy="635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Name: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Title: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9" w:right="1440"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204075" cy="31750"/>
                    </a:xfrm>
                    <a:prstGeom prst="rect">
                      <a:avLst/>
                    </a:prstGeom>
                    <a:noFill/>
                  </pic:spPr>
                </pic:pic>
              </a:graphicData>
            </a:graphic>
          </wp:anchor>
        </w:drawing>
        <w:t>[Form of Reverse of Global Security]</w:t>
      </w:r>
    </w:p>
    <w:p>
      <w:pPr>
        <w:spacing w:after="0" w:line="166" w:lineRule="exact"/>
        <w:rPr>
          <w:sz w:val="20"/>
          <w:szCs w:val="20"/>
          <w:color w:val="auto"/>
        </w:rPr>
      </w:pPr>
    </w:p>
    <w:p>
      <w:pPr>
        <w:ind w:left="340" w:right="439"/>
        <w:spacing w:after="0" w:line="246" w:lineRule="auto"/>
        <w:rPr>
          <w:sz w:val="20"/>
          <w:szCs w:val="20"/>
          <w:color w:val="auto"/>
        </w:rPr>
      </w:pPr>
      <w:r>
        <w:rPr>
          <w:rFonts w:ascii="Times New Roman" w:cs="Times New Roman" w:eastAsia="Times New Roman" w:hAnsi="Times New Roman"/>
          <w:sz w:val="14"/>
          <w:szCs w:val="14"/>
          <w:color w:val="auto"/>
        </w:rPr>
        <w:t>This Security is one of a duly authorized issue of securities of the Issuer (herein called the “Securities”), issued and to be issued in one or more series under an Indenture, dated as of [●], herein called the “Indenture” which term shall have the meaning assigned to it in such instrument), among the Issuer, Shell plc, a public company limited by shares existing under the laws of England and Wales (herein called the “Guarantor”, which term includes any successor Person under the Indenture referred to herein), and Deutsche Bank Trust Company Americas, as Trustee (herein called the “Trustee”, which term includes any other successor trustee under the Indenture), and reference is hereby made to the Indenture for a statement of the respective rights, limitations of rights, duties and immunities thereunder of the Issuer, the Guarantor, the Trustee and the Holders of the Securities and of the terms upon which the Securities are, and are to be, authenticated and delivered. This Security is one of the series designated on the face hereof [, limited in aggregate principal amount to U.S.$___].</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[If applicable, insert — Prior to _____, 20____ (the “Par Call Date”), the Securities will be redeemable in whole or in part, at the option of the Issuer, at</w:t>
      </w:r>
    </w:p>
    <w:p>
      <w:pPr>
        <w:spacing w:after="0" w:line="37" w:lineRule="exact"/>
        <w:rPr>
          <w:sz w:val="20"/>
          <w:szCs w:val="20"/>
          <w:color w:val="auto"/>
        </w:rPr>
      </w:pPr>
    </w:p>
    <w:p>
      <w:pPr>
        <w:ind w:left="340" w:right="379"/>
        <w:spacing w:after="0" w:line="244" w:lineRule="auto"/>
        <w:rPr>
          <w:sz w:val="20"/>
          <w:szCs w:val="20"/>
          <w:color w:val="auto"/>
        </w:rPr>
      </w:pPr>
      <w:r>
        <w:rPr>
          <w:rFonts w:ascii="Times New Roman" w:cs="Times New Roman" w:eastAsia="Times New Roman" w:hAnsi="Times New Roman"/>
          <w:sz w:val="14"/>
          <w:szCs w:val="14"/>
          <w:color w:val="auto"/>
        </w:rPr>
        <w:t>any time and from time to time, at a redemption price calculated by the Issuer (expressed as a percentage of principal amount and rounded to three decimal places) equal to the greater of (a)(i)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_____ basis points less (ii) interest accrued to the date of redemption, and (b) 100% of the principal amount of the Securities to be redeemed,</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plus, in either case, accrued and unpaid interest thereon to the redemption date.</w:t>
      </w:r>
    </w:p>
    <w:p>
      <w:pPr>
        <w:spacing w:after="0" w:line="166" w:lineRule="exact"/>
        <w:rPr>
          <w:sz w:val="20"/>
          <w:szCs w:val="20"/>
          <w:color w:val="auto"/>
        </w:rPr>
      </w:pPr>
    </w:p>
    <w:p>
      <w:pPr>
        <w:ind w:left="340" w:right="659"/>
        <w:spacing w:after="0" w:line="253" w:lineRule="auto"/>
        <w:rPr>
          <w:sz w:val="20"/>
          <w:szCs w:val="20"/>
          <w:color w:val="auto"/>
        </w:rPr>
      </w:pPr>
      <w:r>
        <w:rPr>
          <w:rFonts w:ascii="Times New Roman" w:cs="Times New Roman" w:eastAsia="Times New Roman" w:hAnsi="Times New Roman"/>
          <w:sz w:val="14"/>
          <w:szCs w:val="14"/>
          <w:color w:val="auto"/>
        </w:rPr>
        <w:t>On or after the Par Call Date, the Securities will be redeemable in whole or in part, at the option of the Issuer at any time and from time to time at a redemption price equal to 100% of the principal amount of the Securities being redeemed, plus accrued and unpaid interest thereon to the date of redemption.</w:t>
      </w:r>
    </w:p>
    <w:p>
      <w:pPr>
        <w:spacing w:after="0" w:line="144" w:lineRule="exact"/>
        <w:rPr>
          <w:sz w:val="20"/>
          <w:szCs w:val="20"/>
          <w:color w:val="auto"/>
        </w:rPr>
      </w:pPr>
    </w:p>
    <w:p>
      <w:pPr>
        <w:ind w:left="340" w:right="439"/>
        <w:spacing w:after="0" w:line="264" w:lineRule="auto"/>
        <w:rPr>
          <w:sz w:val="20"/>
          <w:szCs w:val="20"/>
          <w:color w:val="auto"/>
        </w:rPr>
      </w:pPr>
      <w:r>
        <w:rPr>
          <w:rFonts w:ascii="Times New Roman" w:cs="Times New Roman" w:eastAsia="Times New Roman" w:hAnsi="Times New Roman"/>
          <w:sz w:val="14"/>
          <w:szCs w:val="14"/>
          <w:color w:val="auto"/>
        </w:rPr>
        <w:t>“Business Day” means any day that is not a Saturday, a Sunday or a day on which banking institutions in any of New York, New York, United States or London, United Kingdom are authorized or obligated by law, regulation or executive order to remain closed.</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“Treasury Rate” means, with respect to any redemption date, the yield determined by the Issuer in accordance with the following two paragraphs:</w:t>
      </w:r>
    </w:p>
    <w:p>
      <w:pPr>
        <w:spacing w:after="0" w:line="166" w:lineRule="exact"/>
        <w:rPr>
          <w:sz w:val="20"/>
          <w:szCs w:val="20"/>
          <w:color w:val="auto"/>
        </w:rPr>
      </w:pPr>
    </w:p>
    <w:p>
      <w:pPr>
        <w:ind w:left="340" w:right="399"/>
        <w:spacing w:after="0" w:line="300" w:lineRule="auto"/>
        <w:rPr>
          <w:sz w:val="20"/>
          <w:szCs w:val="20"/>
          <w:color w:val="auto"/>
        </w:rPr>
      </w:pPr>
      <w:r>
        <w:rPr>
          <w:rFonts w:ascii="Times New Roman" w:cs="Times New Roman" w:eastAsia="Times New Roman" w:hAnsi="Times New Roman"/>
          <w:sz w:val="12"/>
          <w:szCs w:val="12"/>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In determining the Treasury</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9" w:right="1440" w:bottom="1440" w:gutter="0" w:footer="0" w:header="0"/>
        </w:sectPr>
      </w:pPr>
    </w:p>
    <w:bookmarkStart w:id="99" w:name="page100"/>
    <w:bookmarkEnd w:id="99"/>
    <w:p>
      <w:pPr>
        <w:ind w:left="340" w:right="459"/>
        <w:spacing w:after="0" w:line="24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204075" cy="31750"/>
                    </a:xfrm>
                    <a:prstGeom prst="rect">
                      <a:avLst/>
                    </a:prstGeom>
                    <a:noFill/>
                  </pic:spPr>
                </pic:pic>
              </a:graphicData>
            </a:graphic>
          </wp:anchor>
        </w:drawing>
        <w:t>Rate, the Issuer shall select, as applicable: (a) the yield for the Treasury constant maturity on H.15 exactly equal to the period from the redemption date to the Par Call Date (the “Remaining Life”); or (b)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(c)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49" w:lineRule="exact"/>
        <w:rPr>
          <w:sz w:val="20"/>
          <w:szCs w:val="20"/>
          <w:color w:val="auto"/>
        </w:rPr>
      </w:pPr>
    </w:p>
    <w:p>
      <w:pPr>
        <w:ind w:left="340" w:right="359"/>
        <w:spacing w:after="0" w:line="245" w:lineRule="auto"/>
        <w:rPr>
          <w:sz w:val="20"/>
          <w:szCs w:val="20"/>
          <w:color w:val="auto"/>
        </w:rPr>
      </w:pPr>
      <w:r>
        <w:rPr>
          <w:rFonts w:ascii="Times New Roman" w:cs="Times New Roman" w:eastAsia="Times New Roman" w:hAnsi="Times New Roman"/>
          <w:sz w:val="14"/>
          <w:szCs w:val="14"/>
          <w:color w:val="auto"/>
        </w:rPr>
        <w:t>If on the third Business Day preceding the redemption date H.15 or any successor designation or publication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50" w:lineRule="exact"/>
        <w:rPr>
          <w:sz w:val="20"/>
          <w:szCs w:val="20"/>
          <w:color w:val="auto"/>
        </w:rPr>
      </w:pPr>
    </w:p>
    <w:p>
      <w:pPr>
        <w:ind w:left="340" w:right="479"/>
        <w:spacing w:after="0" w:line="264" w:lineRule="auto"/>
        <w:rPr>
          <w:sz w:val="20"/>
          <w:szCs w:val="20"/>
          <w:color w:val="auto"/>
        </w:rPr>
      </w:pPr>
      <w:r>
        <w:rPr>
          <w:rFonts w:ascii="Times New Roman" w:cs="Times New Roman" w:eastAsia="Times New Roman" w:hAnsi="Times New Roman"/>
          <w:sz w:val="14"/>
          <w:szCs w:val="14"/>
          <w:color w:val="auto"/>
        </w:rPr>
        <w:t>Unless the Issuer defaults in payment of the redemption price, and the Guarantor defaults in payment under its guarantee of the Securities, on and after the applicable redemption date, interest will cease to accrue on the Securities or portions thereof called for redemption.]</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[Insert any limitations, conditions or other provisions relating to redemption.]</w:t>
      </w:r>
    </w:p>
    <w:p>
      <w:pPr>
        <w:spacing w:after="0" w:line="166" w:lineRule="exact"/>
        <w:rPr>
          <w:sz w:val="20"/>
          <w:szCs w:val="20"/>
          <w:color w:val="auto"/>
        </w:rPr>
      </w:pPr>
    </w:p>
    <w:p>
      <w:pPr>
        <w:ind w:left="340" w:right="759"/>
        <w:spacing w:after="0" w:line="264" w:lineRule="auto"/>
        <w:rPr>
          <w:sz w:val="20"/>
          <w:szCs w:val="20"/>
          <w:color w:val="auto"/>
        </w:rPr>
      </w:pPr>
      <w:r>
        <w:rPr>
          <w:rFonts w:ascii="Times New Roman" w:cs="Times New Roman" w:eastAsia="Times New Roman" w:hAnsi="Times New Roman"/>
          <w:sz w:val="14"/>
          <w:szCs w:val="14"/>
          <w:color w:val="auto"/>
        </w:rPr>
        <w:t>The Indenture in Section 3.12 contains provisions for the optional redemption due to changes in tax treatment [at a Redemption Price equal to the principal amount thereof].</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9" w:right="1440" w:bottom="1440" w:gutter="0" w:footer="0" w:header="0"/>
        </w:sectPr>
      </w:pPr>
    </w:p>
    <w:bookmarkStart w:id="100" w:name="page101"/>
    <w:bookmarkEnd w:id="100"/>
    <w:p>
      <w:pPr>
        <w:ind w:left="340" w:right="37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[If applicable, insert — The Redemption Price of the Securities shall be equal to the applicable percentage of the principal amount at Stated Maturity set forth below:</w:t>
      </w:r>
    </w:p>
    <w:p>
      <w:pPr>
        <w:sectPr>
          <w:pgSz w:w="11900" w:h="16838" w:orient="portrait"/>
          <w:cols w:equalWidth="0" w:num="1">
            <w:col w:w="9019"/>
          </w:cols>
          <w:pgMar w:left="1440" w:top="239" w:right="1440" w:bottom="1440" w:gutter="0" w:footer="0" w:header="0"/>
        </w:sectPr>
      </w:pPr>
    </w:p>
    <w:p>
      <w:pPr>
        <w:spacing w:after="0" w:line="15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If Redemption During the</w:t>
      </w:r>
    </w:p>
    <w:p>
      <w:pPr>
        <w:spacing w:after="0" w:line="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2"/>
          <w:szCs w:val="12"/>
          <w:color w:val="auto"/>
        </w:rPr>
        <w:t>12-Month Period Commencing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22860</wp:posOffset>
            </wp:positionV>
            <wp:extent cx="266954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266954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30480</wp:posOffset>
            </wp:positionV>
            <wp:extent cx="256540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2565400" cy="635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5440" w:space="720"/>
            <w:col w:w="2859"/>
          </w:cols>
          <w:pgMar w:left="1440" w:top="239" w:right="1440" w:bottom="1440" w:gutter="0" w:footer="0" w:header="0"/>
          <w:type w:val="continuous"/>
        </w:sectPr>
      </w:pPr>
    </w:p>
    <w:p>
      <w:pPr>
        <w:ind w:left="340"/>
        <w:spacing w:after="0"/>
        <w:tabs>
          <w:tab w:leader="none" w:pos="4660" w:val="left"/>
        </w:tabs>
        <w:rPr>
          <w:sz w:val="20"/>
          <w:szCs w:val="20"/>
          <w:color w:val="auto"/>
        </w:rPr>
      </w:pPr>
      <w:r>
        <w:rPr>
          <w:rFonts w:ascii="Times New Roman" w:cs="Times New Roman" w:eastAsia="Times New Roman" w:hAnsi="Times New Roman"/>
          <w:sz w:val="14"/>
          <w:szCs w:val="14"/>
          <w:color w:val="auto"/>
        </w:rPr>
        <w:t xml:space="preserve">together with, in each case (except if the Redemption Date shall be a           </w:t>
      </w:r>
      <w:r>
        <w:rPr>
          <w:sz w:val="20"/>
          <w:szCs w:val="20"/>
          <w:color w:val="auto"/>
        </w:rPr>
        <w:tab/>
      </w:r>
      <w:r>
        <w:rPr>
          <w:rFonts w:ascii="Times New Roman" w:cs="Times New Roman" w:eastAsia="Times New Roman" w:hAnsi="Times New Roman"/>
          <w:sz w:val="12"/>
          <w:szCs w:val="12"/>
          <w:color w:val="auto"/>
        </w:rPr>
        <w:t>), an amount equal to the applicable Redemption Price multiplied by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2609215</wp:posOffset>
            </wp:positionH>
            <wp:positionV relativeFrom="paragraph">
              <wp:posOffset>-9525</wp:posOffset>
            </wp:positionV>
            <wp:extent cx="36703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367030" cy="6350"/>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148"/>
        </w:trPr>
        <w:tc>
          <w:tcPr>
            <w:tcW w:w="5540" w:type="dxa"/>
            <w:vAlign w:val="bottom"/>
            <w:gridSpan w:val="3"/>
          </w:tcPr>
          <w:p>
            <w:pPr>
              <w:spacing w:after="0" w:line="148" w:lineRule="exact"/>
              <w:rPr>
                <w:sz w:val="20"/>
                <w:szCs w:val="20"/>
                <w:color w:val="auto"/>
              </w:rPr>
            </w:pPr>
            <w:r>
              <w:rPr>
                <w:rFonts w:ascii="Times New Roman" w:cs="Times New Roman" w:eastAsia="Times New Roman" w:hAnsi="Times New Roman"/>
                <w:sz w:val="14"/>
                <w:szCs w:val="14"/>
                <w:color w:val="auto"/>
              </w:rPr>
              <w:t xml:space="preserve">fraction the numerator of which is the number of days from but not including the preceding           </w:t>
            </w:r>
          </w:p>
        </w:tc>
        <w:tc>
          <w:tcPr>
            <w:tcW w:w="27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w w:val="97"/>
              </w:rPr>
              <w:t>to and including the Redemption Date multiplied</w:t>
            </w:r>
          </w:p>
        </w:tc>
      </w:tr>
      <w:tr>
        <w:trPr>
          <w:trHeight w:val="20"/>
        </w:trPr>
        <w:tc>
          <w:tcPr>
            <w:tcW w:w="50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43"/>
        </w:trPr>
        <w:tc>
          <w:tcPr>
            <w:tcW w:w="5540" w:type="dxa"/>
            <w:vAlign w:val="bottom"/>
            <w:gridSpan w:val="3"/>
          </w:tcPr>
          <w:p>
            <w:pPr>
              <w:spacing w:after="0" w:line="143" w:lineRule="exact"/>
              <w:rPr>
                <w:sz w:val="20"/>
                <w:szCs w:val="20"/>
                <w:color w:val="auto"/>
              </w:rPr>
            </w:pPr>
            <w:r>
              <w:rPr>
                <w:rFonts w:ascii="Times New Roman" w:cs="Times New Roman" w:eastAsia="Times New Roman" w:hAnsi="Times New Roman"/>
                <w:sz w:val="14"/>
                <w:szCs w:val="14"/>
                <w:color w:val="auto"/>
                <w:w w:val="96"/>
              </w:rPr>
              <w:t>by the difference between the Redemption Price applicable during the 12 months beginning on the  </w:t>
            </w:r>
          </w:p>
        </w:tc>
        <w:tc>
          <w:tcPr>
            <w:tcW w:w="27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w w:val="96"/>
              </w:rPr>
              <w:t>         following the Redemption Date (or, in the</w:t>
            </w:r>
          </w:p>
        </w:tc>
      </w:tr>
      <w:tr>
        <w:trPr>
          <w:trHeight w:val="20"/>
        </w:trPr>
        <w:tc>
          <w:tcPr>
            <w:tcW w:w="5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8" w:lineRule="exact"/>
        <w:rPr>
          <w:sz w:val="20"/>
          <w:szCs w:val="20"/>
          <w:color w:val="auto"/>
        </w:rPr>
      </w:pPr>
    </w:p>
    <w:p>
      <w:pPr>
        <w:ind w:left="340" w:right="379"/>
        <w:spacing w:after="0" w:line="250" w:lineRule="auto"/>
        <w:rPr>
          <w:sz w:val="20"/>
          <w:szCs w:val="20"/>
          <w:color w:val="auto"/>
        </w:rPr>
      </w:pPr>
      <w:r>
        <w:rPr>
          <w:rFonts w:ascii="Times New Roman" w:cs="Times New Roman" w:eastAsia="Times New Roman" w:hAnsi="Times New Roman"/>
          <w:sz w:val="14"/>
          <w:szCs w:val="14"/>
          <w:color w:val="auto"/>
        </w:rPr>
        <w:t>case of a Redemption Date after         , 100%) and the Redemption Price applicable on the Redemption Date and the denominator of which is the total number of days from but not including the         preceding the Redemption Date to and including the next succeeding         . The Issuer will also pay to each eligible Holder, or make available for payment to each such Holder, on the Redemption Date any additional interest (as set forth on the face hereof) resulting from the payment of such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1348105</wp:posOffset>
            </wp:positionH>
            <wp:positionV relativeFrom="paragraph">
              <wp:posOffset>-332740</wp:posOffset>
            </wp:positionV>
            <wp:extent cx="34544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345440" cy="6350"/>
                    </a:xfrm>
                    <a:prstGeom prst="rect">
                      <a:avLst/>
                    </a:prstGeom>
                    <a:noFill/>
                  </pic:spPr>
                </pic:pic>
              </a:graphicData>
            </a:graphic>
          </wp:anchor>
        </w:drawing>
        <w:drawing>
          <wp:anchor simplePos="0" relativeHeight="251657728" behindDoc="1" locked="0" layoutInCell="0" allowOverlap="1">
            <wp:simplePos x="0" y="0"/>
            <wp:positionH relativeFrom="column">
              <wp:posOffset>1878330</wp:posOffset>
            </wp:positionH>
            <wp:positionV relativeFrom="paragraph">
              <wp:posOffset>-229235</wp:posOffset>
            </wp:positionV>
            <wp:extent cx="34544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345440" cy="6350"/>
                    </a:xfrm>
                    <a:prstGeom prst="rect">
                      <a:avLst/>
                    </a:prstGeom>
                    <a:noFill/>
                  </pic:spPr>
                </pic:pic>
              </a:graphicData>
            </a:graphic>
          </wp:anchor>
        </w:drawing>
        <w:drawing>
          <wp:anchor simplePos="0" relativeHeight="251657728" behindDoc="1" locked="0" layoutInCell="0" allowOverlap="1">
            <wp:simplePos x="0" y="0"/>
            <wp:positionH relativeFrom="column">
              <wp:posOffset>4648200</wp:posOffset>
            </wp:positionH>
            <wp:positionV relativeFrom="paragraph">
              <wp:posOffset>-229235</wp:posOffset>
            </wp:positionV>
            <wp:extent cx="34544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345440" cy="6350"/>
                    </a:xfrm>
                    <a:prstGeom prst="rect">
                      <a:avLst/>
                    </a:prstGeom>
                    <a:noFill/>
                  </pic:spPr>
                </pic:pic>
              </a:graphicData>
            </a:graphic>
          </wp:anchor>
        </w:drawing>
      </w:r>
    </w:p>
    <w:p>
      <w:pPr>
        <w:spacing w:after="0" w:line="125" w:lineRule="exact"/>
        <w:rPr>
          <w:sz w:val="20"/>
          <w:szCs w:val="20"/>
          <w:color w:val="auto"/>
        </w:rPr>
      </w:pPr>
    </w:p>
    <w:p>
      <w:pPr>
        <w:ind w:left="340" w:right="399"/>
        <w:spacing w:after="0" w:line="248" w:lineRule="auto"/>
        <w:rPr>
          <w:sz w:val="20"/>
          <w:szCs w:val="20"/>
          <w:color w:val="auto"/>
        </w:rPr>
      </w:pPr>
      <w:r>
        <w:rPr>
          <w:rFonts w:ascii="Times New Roman" w:cs="Times New Roman" w:eastAsia="Times New Roman" w:hAnsi="Times New Roman"/>
          <w:sz w:val="14"/>
          <w:szCs w:val="14"/>
          <w:color w:val="auto"/>
        </w:rPr>
        <w:t>[If applicable, insert — The Redemption Price of the Securities either in the event of certain changes in the tax treatment or in an event of default would include, in addition to the face amount of the Security, an amount equal to the Original Issue Discount accrued since the issue date. Original Issue Discount (the difference between the Issue Price and the Principal Amount at Maturity of the Security), in the period during which a Security remains outstanding, shall accrue at ___% per annum, on a semi-annual bond equivalent basis using a 360-day year composed of twelve 30-day months, commencing on the Issue Date of this Security.]</w:t>
      </w:r>
    </w:p>
    <w:p>
      <w:pPr>
        <w:spacing w:after="0" w:line="148" w:lineRule="exact"/>
        <w:rPr>
          <w:sz w:val="20"/>
          <w:szCs w:val="20"/>
          <w:color w:val="auto"/>
        </w:rPr>
      </w:pPr>
    </w:p>
    <w:p>
      <w:pPr>
        <w:ind w:left="340" w:right="579"/>
        <w:spacing w:after="0" w:line="253" w:lineRule="auto"/>
        <w:rPr>
          <w:sz w:val="20"/>
          <w:szCs w:val="20"/>
          <w:color w:val="auto"/>
        </w:rPr>
      </w:pPr>
      <w:r>
        <w:rPr>
          <w:rFonts w:ascii="Times New Roman" w:cs="Times New Roman" w:eastAsia="Times New Roman" w:hAnsi="Times New Roman"/>
          <w:sz w:val="14"/>
          <w:szCs w:val="14"/>
          <w:color w:val="auto"/>
        </w:rPr>
        <w:t>[Notice of any redemption will be mailed or electronically delivered (or otherwise transmitted in accordance with the depositary’s procedures) to Holders of Securities, not less than [10] nor more than 60 days prior to the date fixed for redemption. [If applicable, insert — The Indenture contains provisions for the selection of securities to be redeemed, which provisions apply to this Security.]</w:t>
      </w:r>
    </w:p>
    <w:p>
      <w:pPr>
        <w:spacing w:after="0" w:line="144" w:lineRule="exact"/>
        <w:rPr>
          <w:sz w:val="20"/>
          <w:szCs w:val="20"/>
          <w:color w:val="auto"/>
        </w:rPr>
      </w:pPr>
    </w:p>
    <w:p>
      <w:pPr>
        <w:ind w:left="340" w:right="379"/>
        <w:spacing w:after="0" w:line="264" w:lineRule="auto"/>
        <w:rPr>
          <w:sz w:val="20"/>
          <w:szCs w:val="20"/>
          <w:color w:val="auto"/>
        </w:rPr>
      </w:pPr>
      <w:r>
        <w:rPr>
          <w:rFonts w:ascii="Times New Roman" w:cs="Times New Roman" w:eastAsia="Times New Roman" w:hAnsi="Times New Roman"/>
          <w:sz w:val="14"/>
          <w:szCs w:val="14"/>
          <w:color w:val="auto"/>
        </w:rPr>
        <w:t>[If applicable, insert — In the event of redemption of this Security in part only, a new Security of this series and of like tenor for the unredeemed portion hereof will be issued to the Holder hereof upon the cancellation hereof.]</w:t>
      </w:r>
    </w:p>
    <w:p>
      <w:pPr>
        <w:spacing w:after="0" w:line="136" w:lineRule="exact"/>
        <w:rPr>
          <w:sz w:val="20"/>
          <w:szCs w:val="20"/>
          <w:color w:val="auto"/>
        </w:rPr>
      </w:pPr>
    </w:p>
    <w:p>
      <w:pPr>
        <w:ind w:left="340" w:right="959"/>
        <w:spacing w:after="0" w:line="264" w:lineRule="auto"/>
        <w:rPr>
          <w:sz w:val="20"/>
          <w:szCs w:val="20"/>
          <w:color w:val="auto"/>
        </w:rPr>
      </w:pPr>
      <w:r>
        <w:rPr>
          <w:rFonts w:ascii="Times New Roman" w:cs="Times New Roman" w:eastAsia="Times New Roman" w:hAnsi="Times New Roman"/>
          <w:sz w:val="14"/>
          <w:szCs w:val="14"/>
          <w:color w:val="auto"/>
        </w:rPr>
        <w:t>The Indenture contains provisions for defeasance at any time of the entire indebtedness on this Security upon compliance by the Issuer [or the Guarantor] with certain conditions set forth thereon, which provisions apply to this Security.</w:t>
      </w:r>
    </w:p>
    <w:p>
      <w:pPr>
        <w:spacing w:after="0" w:line="136" w:lineRule="exact"/>
        <w:rPr>
          <w:sz w:val="20"/>
          <w:szCs w:val="20"/>
          <w:color w:val="auto"/>
        </w:rPr>
      </w:pPr>
    </w:p>
    <w:p>
      <w:pPr>
        <w:ind w:left="340" w:right="439"/>
        <w:spacing w:after="0" w:line="264" w:lineRule="auto"/>
        <w:rPr>
          <w:sz w:val="20"/>
          <w:szCs w:val="20"/>
          <w:color w:val="auto"/>
        </w:rPr>
      </w:pPr>
      <w:r>
        <w:rPr>
          <w:rFonts w:ascii="Times New Roman" w:cs="Times New Roman" w:eastAsia="Times New Roman" w:hAnsi="Times New Roman"/>
          <w:sz w:val="14"/>
          <w:szCs w:val="14"/>
          <w:color w:val="auto"/>
        </w:rPr>
        <w:t>[If applicable, insert — Subject to and upon compliance with the provisions of the Indenture, the Holder of this Security is entitled, at his option, at any time after, to convert this Security into [Describe securities and conversion mechanics].]</w:t>
      </w:r>
    </w:p>
    <w:p>
      <w:pPr>
        <w:spacing w:after="0" w:line="136" w:lineRule="exact"/>
        <w:rPr>
          <w:sz w:val="20"/>
          <w:szCs w:val="20"/>
          <w:color w:val="auto"/>
        </w:rPr>
      </w:pPr>
    </w:p>
    <w:p>
      <w:pPr>
        <w:ind w:left="340" w:right="799"/>
        <w:spacing w:after="0" w:line="264" w:lineRule="auto"/>
        <w:rPr>
          <w:sz w:val="20"/>
          <w:szCs w:val="20"/>
          <w:color w:val="auto"/>
        </w:rPr>
      </w:pPr>
      <w:r>
        <w:rPr>
          <w:rFonts w:ascii="Times New Roman" w:cs="Times New Roman" w:eastAsia="Times New Roman" w:hAnsi="Times New Roman"/>
          <w:sz w:val="14"/>
          <w:szCs w:val="14"/>
          <w:color w:val="auto"/>
        </w:rPr>
        <w:t>[If applicable, insert — In the event of conversion of this Security in part only, a new Security or Securities of this series and of like tenor for the unconverted portion hereof will be issued to the Holder upon the cancellation hereof.]</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9" w:right="1440" w:bottom="1440" w:gutter="0" w:footer="0" w:header="0"/>
          <w:type w:val="continuous"/>
        </w:sectPr>
      </w:pPr>
    </w:p>
    <w:bookmarkStart w:id="101" w:name="page102"/>
    <w:bookmarkEnd w:id="101"/>
    <w:p>
      <w:pPr>
        <w:ind w:left="340" w:right="539"/>
        <w:spacing w:after="0" w:line="34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[If the Security is not an Original Issue Discount Security, insert — If an Event of Default with respect to Securities of this series shall occur and be continuing, the principal of the Securities of this series may be declared due and payable in the manner and with the effect provided in the Indenture.]</w:t>
      </w:r>
    </w:p>
    <w:p>
      <w:pPr>
        <w:spacing w:after="0" w:line="90" w:lineRule="exact"/>
        <w:rPr>
          <w:sz w:val="20"/>
          <w:szCs w:val="20"/>
          <w:color w:val="auto"/>
        </w:rPr>
      </w:pPr>
    </w:p>
    <w:p>
      <w:pPr>
        <w:ind w:left="340" w:right="359"/>
        <w:spacing w:after="0" w:line="247" w:lineRule="auto"/>
        <w:rPr>
          <w:sz w:val="20"/>
          <w:szCs w:val="20"/>
          <w:color w:val="auto"/>
        </w:rPr>
      </w:pPr>
      <w:r>
        <w:rPr>
          <w:rFonts w:ascii="Times New Roman" w:cs="Times New Roman" w:eastAsia="Times New Roman" w:hAnsi="Times New Roman"/>
          <w:sz w:val="14"/>
          <w:szCs w:val="14"/>
          <w:color w:val="auto"/>
        </w:rPr>
        <w:t>[If the Security is an Original Issue Discount Security, insert — If an Event of Default with respect to Securities of this series shall occur and be continuing, an amount of principal of the Securities of this series may be declared due and payable in the manner and with the effect provided in the Indenture. Such amount shall be equal to — insert formula for determining the amount. Upon payment (i) of the amount of principal so declared due and payable and (ii) of interest on any overdue principal, premium and interest (in each case to the extent that the payment of such interest shall be legally enforceable), all of the Issuer’s obligations in respect of the payment of the principal of and interest, if any, on the Securities of this series shall terminate.]</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[If applicable, insert — The Indenture contains provisions for Additional Amounts, which provisions apply to this Security.]</w:t>
      </w:r>
    </w:p>
    <w:p>
      <w:pPr>
        <w:spacing w:after="0" w:line="166" w:lineRule="exact"/>
        <w:rPr>
          <w:sz w:val="20"/>
          <w:szCs w:val="20"/>
          <w:color w:val="auto"/>
        </w:rPr>
      </w:pPr>
    </w:p>
    <w:p>
      <w:pPr>
        <w:ind w:left="340" w:right="399"/>
        <w:spacing w:after="0" w:line="294" w:lineRule="auto"/>
        <w:rPr>
          <w:sz w:val="20"/>
          <w:szCs w:val="20"/>
          <w:color w:val="auto"/>
        </w:rPr>
      </w:pPr>
      <w:r>
        <w:rPr>
          <w:rFonts w:ascii="Times New Roman" w:cs="Times New Roman" w:eastAsia="Times New Roman" w:hAnsi="Times New Roman"/>
          <w:sz w:val="12"/>
          <w:szCs w:val="12"/>
          <w:color w:val="auto"/>
        </w:rPr>
        <w:t>The Indenture permits, with certain exceptions as therein provided, the amendment thereof and the modification of the rights and obligations of the Issuer and the Guarantor and the rights of the Holders of the Securities of each series to be affected under the Indenture at any time by the Issuer, the Guarantor and the Trustee with the consent of the Holders of a majority in principal amount of the Securities at the time outstanding of each series to be affected. The Indenture also contains provisions permitting the Holders of a majority in principal amount of the then outstanding Securities of one or more series or of all series under the indenture waive compliance by the Issuer or the Guarantor with certain provisions of the Indenture and certain past defaults under the Indenture and their consequences with respect to Securities of such series.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286" w:lineRule="exact"/>
        <w:rPr>
          <w:sz w:val="20"/>
          <w:szCs w:val="20"/>
          <w:color w:val="auto"/>
        </w:rPr>
      </w:pPr>
    </w:p>
    <w:p>
      <w:pPr>
        <w:ind w:left="340" w:right="379"/>
        <w:spacing w:after="0" w:line="246" w:lineRule="auto"/>
        <w:rPr>
          <w:sz w:val="20"/>
          <w:szCs w:val="20"/>
          <w:color w:val="auto"/>
        </w:rPr>
      </w:pPr>
      <w:r>
        <w:rPr>
          <w:rFonts w:ascii="Times New Roman" w:cs="Times New Roman" w:eastAsia="Times New Roman" w:hAnsi="Times New Roman"/>
          <w:sz w:val="14"/>
          <w:szCs w:val="14"/>
          <w:color w:val="auto"/>
        </w:rPr>
        <w:t>As set forth in, and subject to, the provisions of the Indenture, no Holder of any Security of this series will have any right to institute any proceeding with respect to the Indenture, the Guarantee, this Security or for any remedy thereunder, unless such Holder shall have previously given to the Trustee written notice of a continuing Event of Default with respect to the Securities of this series, the Holders of not less than 25% in principal amount of the Outstanding Securities of this series shall have made written request, and offered indemnity, to the Trustee to institute such proceeding as trustee, and the Trustee shall not have received from the Holders of a majority in principal of the Outstanding Securities of this series a direction inconsistent with such request and shall have failed to institute such proceeding within 60 days; provided, however, that such limitations do not apply to a suit instituted by the Holder hereof for the enforcement of payment of the principal [(and premium, if any)] or [any] interest on this Security on or after the respective due dates expressed herein. [If applicable, insert — or to a suit instituted by the Holder hereof for the enforcement of the right to convert this Security in accordance with the Indenture.]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9" w:right="1440" w:bottom="1440" w:gutter="0" w:footer="0" w:header="0"/>
        </w:sectPr>
      </w:pPr>
    </w:p>
    <w:bookmarkStart w:id="102" w:name="page103"/>
    <w:bookmarkEnd w:id="102"/>
    <w:p>
      <w:pPr>
        <w:ind w:left="340" w:right="35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204075" cy="31750"/>
                    </a:xfrm>
                    <a:prstGeom prst="rect">
                      <a:avLst/>
                    </a:prstGeom>
                    <a:noFill/>
                  </pic:spPr>
                </pic:pic>
              </a:graphicData>
            </a:graphic>
          </wp:anchor>
        </w:drawing>
        <w:t>No reference herein to the Indenture and no provision of this Security or of the Indenture shall alter or impair the obligation of the Issuer, which is absolute and unconditional, to pay the principal of and any premium and interest on this Security at the times, place and rate, and in the coin or currency, herein prescribed or to convert this Security as provided in the Indenture.</w:t>
      </w:r>
    </w:p>
    <w:p>
      <w:pPr>
        <w:spacing w:after="0" w:line="144" w:lineRule="exact"/>
        <w:rPr>
          <w:sz w:val="20"/>
          <w:szCs w:val="20"/>
          <w:color w:val="auto"/>
        </w:rPr>
      </w:pPr>
    </w:p>
    <w:p>
      <w:pPr>
        <w:ind w:left="340" w:right="519"/>
        <w:spacing w:after="0" w:line="264" w:lineRule="auto"/>
        <w:rPr>
          <w:sz w:val="20"/>
          <w:szCs w:val="20"/>
          <w:color w:val="auto"/>
        </w:rPr>
      </w:pPr>
      <w:r>
        <w:rPr>
          <w:rFonts w:ascii="Times New Roman" w:cs="Times New Roman" w:eastAsia="Times New Roman" w:hAnsi="Times New Roman"/>
          <w:sz w:val="14"/>
          <w:szCs w:val="14"/>
          <w:color w:val="auto"/>
        </w:rPr>
        <w:t>No service charge shall be made for any such registration of transfer or exchange, but the Issuer may require payment of a sum sufficient to cover any tax or other governmental charge payable in connection therewith, as provided for in the Indenture.</w:t>
      </w:r>
    </w:p>
    <w:p>
      <w:pPr>
        <w:spacing w:after="0" w:line="136" w:lineRule="exact"/>
        <w:rPr>
          <w:sz w:val="20"/>
          <w:szCs w:val="20"/>
          <w:color w:val="auto"/>
        </w:rPr>
      </w:pPr>
    </w:p>
    <w:p>
      <w:pPr>
        <w:ind w:left="340" w:right="779"/>
        <w:spacing w:after="0" w:line="264" w:lineRule="auto"/>
        <w:rPr>
          <w:sz w:val="20"/>
          <w:szCs w:val="20"/>
          <w:color w:val="auto"/>
        </w:rPr>
      </w:pPr>
      <w:r>
        <w:rPr>
          <w:rFonts w:ascii="Times New Roman" w:cs="Times New Roman" w:eastAsia="Times New Roman" w:hAnsi="Times New Roman"/>
          <w:sz w:val="14"/>
          <w:szCs w:val="14"/>
          <w:color w:val="auto"/>
        </w:rPr>
        <w:t>The Indenture and the Securities shall be governed by and construed in accordance with the laws of the State of New York. All terms used in this Security which are defined in the Indenture shall have the meanings assigned to them in the Indenture.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9" w:right="1440" w:bottom="1440" w:gutter="0" w:footer="0" w:header="0"/>
        </w:sectPr>
      </w:pPr>
    </w:p>
    <w:bookmarkStart w:id="103" w:name="page104"/>
    <w:bookmarkEnd w:id="103"/>
    <w:p>
      <w:pPr>
        <w:jc w:val="right"/>
        <w:ind w:right="359"/>
        <w:spacing w:after="0"/>
        <w:rPr>
          <w:sz w:val="20"/>
          <w:szCs w:val="20"/>
          <w:color w:val="auto"/>
        </w:rPr>
      </w:pPr>
      <w:r>
        <w:rPr>
          <w:rFonts w:ascii="Arial" w:cs="Arial" w:eastAsia="Arial" w:hAnsi="Arial"/>
          <w:sz w:val="14"/>
          <w:szCs w:val="14"/>
          <w:b w:val="1"/>
          <w:bCs w:val="1"/>
          <w:color w:val="auto"/>
        </w:rPr>
        <w:t>Exhibit 5.1</w:t>
      </w:r>
    </w:p>
    <w:p>
      <w:pPr>
        <w:spacing w:after="0" w:line="177"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One Bunhill 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-93345</wp:posOffset>
            </wp:positionV>
            <wp:extent cx="1652270" cy="1098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1652270" cy="109855"/>
                    </a:xfrm>
                    <a:prstGeom prst="rect">
                      <a:avLst/>
                    </a:prstGeom>
                    <a:noFill/>
                  </pic:spPr>
                </pic:pic>
              </a:graphicData>
            </a:graphic>
          </wp:anchor>
        </w:drawing>
      </w:r>
    </w:p>
    <w:p>
      <w:pPr>
        <w:ind w:left="6100"/>
        <w:spacing w:after="0" w:line="234" w:lineRule="auto"/>
        <w:rPr>
          <w:sz w:val="20"/>
          <w:szCs w:val="20"/>
          <w:color w:val="auto"/>
        </w:rPr>
      </w:pPr>
      <w:r>
        <w:rPr>
          <w:rFonts w:ascii="Arial" w:cs="Arial" w:eastAsia="Arial" w:hAnsi="Arial"/>
          <w:sz w:val="14"/>
          <w:szCs w:val="14"/>
          <w:color w:val="auto"/>
        </w:rPr>
        <w:t>London EC1Y 8YY</w:t>
      </w:r>
    </w:p>
    <w:p>
      <w:pPr>
        <w:ind w:left="6100"/>
        <w:spacing w:after="0" w:line="228" w:lineRule="auto"/>
        <w:rPr>
          <w:sz w:val="20"/>
          <w:szCs w:val="20"/>
          <w:color w:val="auto"/>
        </w:rPr>
      </w:pPr>
      <w:r>
        <w:rPr>
          <w:rFonts w:ascii="Arial" w:cs="Arial" w:eastAsia="Arial" w:hAnsi="Arial"/>
          <w:sz w:val="14"/>
          <w:szCs w:val="14"/>
          <w:color w:val="auto"/>
        </w:rPr>
        <w:t>T +44 (0)20 7600 1200</w:t>
      </w:r>
    </w:p>
    <w:p>
      <w:pPr>
        <w:ind w:left="6100"/>
        <w:spacing w:after="0"/>
        <w:rPr>
          <w:sz w:val="20"/>
          <w:szCs w:val="20"/>
          <w:color w:val="auto"/>
        </w:rPr>
      </w:pPr>
      <w:r>
        <w:rPr>
          <w:rFonts w:ascii="Arial" w:cs="Arial" w:eastAsia="Arial" w:hAnsi="Arial"/>
          <w:sz w:val="14"/>
          <w:szCs w:val="14"/>
          <w:color w:val="auto"/>
        </w:rPr>
        <w:t>F +44 (0)20 7090 5000</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auto"/>
        </w:rPr>
        <w:t>22 May 2026</w:t>
      </w:r>
    </w:p>
    <w:p>
      <w:pPr>
        <w:spacing w:after="0" w:line="178" w:lineRule="exact"/>
        <w:rPr>
          <w:sz w:val="20"/>
          <w:szCs w:val="20"/>
          <w:color w:val="auto"/>
        </w:rPr>
      </w:pPr>
    </w:p>
    <w:p>
      <w:pPr>
        <w:sectPr>
          <w:pgSz w:w="11900" w:h="16838" w:orient="portrait"/>
          <w:cols w:equalWidth="0" w:num="2">
            <w:col w:w="5980" w:space="200"/>
            <w:col w:w="2839"/>
          </w:cols>
          <w:pgMar w:left="1440" w:top="125" w:right="1440" w:bottom="1440" w:gutter="0" w:footer="0" w:header="0"/>
          <w:type w:val="continuous"/>
        </w:sectPr>
      </w:pPr>
    </w:p>
    <w:p>
      <w:pPr>
        <w:ind w:left="6180"/>
        <w:spacing w:after="0"/>
        <w:rPr>
          <w:sz w:val="20"/>
          <w:szCs w:val="20"/>
          <w:color w:val="auto"/>
        </w:rPr>
      </w:pPr>
      <w:r>
        <w:rPr>
          <w:rFonts w:ascii="Arial" w:cs="Arial" w:eastAsia="Arial" w:hAnsi="Arial"/>
          <w:sz w:val="12"/>
          <w:szCs w:val="12"/>
          <w:color w:val="auto"/>
        </w:rPr>
        <w:t>Your reference</w:t>
      </w:r>
    </w:p>
    <w:p>
      <w:pPr>
        <w:sectPr>
          <w:pgSz w:w="11900" w:h="16838" w:orient="portrait"/>
          <w:cols w:equalWidth="0" w:num="1">
            <w:col w:w="9019"/>
          </w:cols>
          <w:pgMar w:left="1440" w:top="125" w:right="1440" w:bottom="1440" w:gutter="0" w:footer="0" w:header="0"/>
          <w:type w:val="continuous"/>
        </w:sectPr>
      </w:pPr>
    </w:p>
    <w:p>
      <w:pPr>
        <w:spacing w:after="0" w:line="168"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Directors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Our reference</w:t>
      </w:r>
    </w:p>
    <w:p>
      <w:pPr>
        <w:spacing w:after="0" w:line="31" w:lineRule="exact"/>
        <w:rPr>
          <w:sz w:val="20"/>
          <w:szCs w:val="20"/>
          <w:color w:val="auto"/>
        </w:rPr>
      </w:pPr>
    </w:p>
    <w:p>
      <w:pPr>
        <w:sectPr>
          <w:pgSz w:w="11900" w:h="16838" w:orient="portrait"/>
          <w:cols w:equalWidth="0" w:num="2">
            <w:col w:w="5460" w:space="720"/>
            <w:col w:w="2839"/>
          </w:cols>
          <w:pgMar w:left="1440" w:top="125" w:right="1440" w:bottom="1440" w:gutter="0" w:footer="0" w:header="0"/>
          <w:type w:val="continuous"/>
        </w:sectPr>
      </w:pPr>
    </w:p>
    <w:p>
      <w:pPr>
        <w:ind w:left="340"/>
        <w:spacing w:after="0"/>
        <w:rPr>
          <w:sz w:val="20"/>
          <w:szCs w:val="20"/>
          <w:color w:val="auto"/>
        </w:rPr>
      </w:pPr>
      <w:r>
        <w:rPr>
          <w:rFonts w:ascii="Arial" w:cs="Arial" w:eastAsia="Arial" w:hAnsi="Arial"/>
          <w:sz w:val="12"/>
          <w:szCs w:val="12"/>
          <w:color w:val="auto"/>
        </w:rPr>
        <w:t>Shell plc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DVH/AQYW</w:t>
      </w:r>
    </w:p>
    <w:p>
      <w:pPr>
        <w:spacing w:after="0" w:line="15" w:lineRule="exact"/>
        <w:rPr>
          <w:sz w:val="20"/>
          <w:szCs w:val="20"/>
          <w:color w:val="auto"/>
        </w:rPr>
      </w:pPr>
    </w:p>
    <w:p>
      <w:pPr>
        <w:sectPr>
          <w:pgSz w:w="11900" w:h="16838" w:orient="portrait"/>
          <w:cols w:equalWidth="0" w:num="2">
            <w:col w:w="5460" w:space="720"/>
            <w:col w:w="2839"/>
          </w:cols>
          <w:pgMar w:left="1440" w:top="125" w:right="1440" w:bottom="1440" w:gutter="0" w:footer="0" w:header="0"/>
          <w:type w:val="continuous"/>
        </w:sectPr>
      </w:pPr>
    </w:p>
    <w:p>
      <w:pPr>
        <w:ind w:left="340"/>
        <w:spacing w:after="0"/>
        <w:rPr>
          <w:sz w:val="20"/>
          <w:szCs w:val="20"/>
          <w:color w:val="auto"/>
        </w:rPr>
      </w:pPr>
      <w:r>
        <w:rPr>
          <w:rFonts w:ascii="Arial" w:cs="Arial" w:eastAsia="Arial" w:hAnsi="Arial"/>
          <w:sz w:val="13"/>
          <w:szCs w:val="13"/>
          <w:color w:val="auto"/>
        </w:rPr>
        <w:t>Shell Centre</w:t>
      </w:r>
    </w:p>
    <w:p>
      <w:pPr>
        <w:sectPr>
          <w:pgSz w:w="11900" w:h="16838" w:orient="portrait"/>
          <w:cols w:equalWidth="0" w:num="1">
            <w:col w:w="9019"/>
          </w:cols>
          <w:pgMar w:left="1440" w:top="125" w:right="1440" w:bottom="1440" w:gutter="0" w:footer="0" w:header="0"/>
          <w:type w:val="continuous"/>
        </w:sectPr>
      </w:pPr>
    </w:p>
    <w:p>
      <w:pPr>
        <w:spacing w:after="0" w:line="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London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Direct line</w:t>
      </w:r>
    </w:p>
    <w:p>
      <w:pPr>
        <w:spacing w:after="0" w:line="4" w:lineRule="exact"/>
        <w:rPr>
          <w:sz w:val="20"/>
          <w:szCs w:val="20"/>
          <w:color w:val="auto"/>
        </w:rPr>
      </w:pPr>
    </w:p>
    <w:p>
      <w:pPr>
        <w:sectPr>
          <w:pgSz w:w="11900" w:h="16838" w:orient="portrait"/>
          <w:cols w:equalWidth="0" w:num="2">
            <w:col w:w="5460" w:space="720"/>
            <w:col w:w="2839"/>
          </w:cols>
          <w:pgMar w:left="1440" w:top="125" w:right="1440" w:bottom="1440" w:gutter="0" w:footer="0" w:header="0"/>
          <w:type w:val="continuous"/>
        </w:sectPr>
      </w:pPr>
    </w:p>
    <w:p>
      <w:pPr>
        <w:ind w:left="340"/>
        <w:spacing w:after="0"/>
        <w:rPr>
          <w:sz w:val="20"/>
          <w:szCs w:val="20"/>
          <w:color w:val="auto"/>
        </w:rPr>
      </w:pPr>
      <w:r>
        <w:rPr>
          <w:rFonts w:ascii="Arial" w:cs="Arial" w:eastAsia="Arial" w:hAnsi="Arial"/>
          <w:sz w:val="13"/>
          <w:szCs w:val="13"/>
          <w:color w:val="auto"/>
        </w:rPr>
        <w:t>SE1 7NA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020 7090 5585</w:t>
      </w:r>
    </w:p>
    <w:p>
      <w:pPr>
        <w:spacing w:after="0" w:line="211" w:lineRule="exact"/>
        <w:rPr>
          <w:sz w:val="20"/>
          <w:szCs w:val="20"/>
          <w:color w:val="auto"/>
        </w:rPr>
      </w:pPr>
    </w:p>
    <w:p>
      <w:pPr>
        <w:sectPr>
          <w:pgSz w:w="11900" w:h="16838" w:orient="portrait"/>
          <w:cols w:equalWidth="0" w:num="2">
            <w:col w:w="5460" w:space="720"/>
            <w:col w:w="2839"/>
          </w:cols>
          <w:pgMar w:left="1440" w:top="125" w:right="1440" w:bottom="1440" w:gutter="0" w:footer="0" w:header="0"/>
          <w:type w:val="continuous"/>
        </w:sectPr>
      </w:pPr>
    </w:p>
    <w:p>
      <w:pPr>
        <w:spacing w:after="0" w:line="11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Ladies and Gentlemen,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3.875% Guaranteed Notes due 2028</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6.375% Guaranteed Notes due 2038</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5.500% Guaranteed Notes due 2040</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5.125% Guaranteed Notes due 2041</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3.125% Guaranteed Notes due 2049</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3.000% Guaranteed Notes due 2051</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(together, the “</w:t>
      </w:r>
      <w:r>
        <w:rPr>
          <w:rFonts w:ascii="Arial" w:cs="Arial" w:eastAsia="Arial" w:hAnsi="Arial"/>
          <w:sz w:val="13"/>
          <w:szCs w:val="13"/>
          <w:b w:val="1"/>
          <w:bCs w:val="1"/>
          <w:color w:val="auto"/>
        </w:rPr>
        <w:t>Exchange Notes</w:t>
      </w:r>
      <w:r>
        <w:rPr>
          <w:rFonts w:ascii="Arial" w:cs="Arial" w:eastAsia="Arial" w:hAnsi="Arial"/>
          <w:sz w:val="13"/>
          <w:szCs w:val="13"/>
          <w:color w:val="auto"/>
        </w:rPr>
        <w:t>”).</w:t>
      </w:r>
    </w:p>
    <w:p>
      <w:pPr>
        <w:sectPr>
          <w:pgSz w:w="11900" w:h="16838" w:orient="portrait"/>
          <w:cols w:equalWidth="0" w:num="1">
            <w:col w:w="9019"/>
          </w:cols>
          <w:pgMar w:left="1440" w:top="125" w:right="1440"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Arial" w:cs="Arial" w:eastAsia="Arial" w:hAnsi="Arial"/>
          <w:sz w:val="13"/>
          <w:szCs w:val="13"/>
          <w:u w:val="single" w:color="auto"/>
          <w:color w:val="auto"/>
        </w:rPr>
        <w:t>Introduction</w:t>
      </w:r>
    </w:p>
    <w:p>
      <w:pPr>
        <w:spacing w:after="0" w:line="177" w:lineRule="exact"/>
        <w:rPr>
          <w:sz w:val="20"/>
          <w:szCs w:val="20"/>
          <w:color w:val="auto"/>
        </w:rPr>
      </w:pPr>
    </w:p>
    <w:p>
      <w:pPr>
        <w:jc w:val="both"/>
        <w:ind w:left="740" w:right="1439" w:hanging="399"/>
        <w:spacing w:after="0" w:line="237" w:lineRule="auto"/>
        <w:tabs>
          <w:tab w:leader="none" w:pos="7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We have acted as legal advisers to Shell plc (the “</w:t>
      </w:r>
      <w:r>
        <w:rPr>
          <w:rFonts w:ascii="Arial" w:cs="Arial" w:eastAsia="Arial" w:hAnsi="Arial"/>
          <w:sz w:val="13"/>
          <w:szCs w:val="13"/>
          <w:b w:val="1"/>
          <w:bCs w:val="1"/>
          <w:color w:val="auto"/>
        </w:rPr>
        <w:t>Company</w:t>
      </w:r>
      <w:r>
        <w:rPr>
          <w:rFonts w:ascii="Arial" w:cs="Arial" w:eastAsia="Arial" w:hAnsi="Arial"/>
          <w:sz w:val="13"/>
          <w:szCs w:val="13"/>
          <w:color w:val="auto"/>
        </w:rPr>
        <w:t>”) as to English law in connection with the proposed registration under the United States Securities Act of 1933 (as amended) of debt securities (being the Exchange Notes) of Shell Finance US Inc. (“</w:t>
      </w:r>
      <w:r>
        <w:rPr>
          <w:rFonts w:ascii="Arial" w:cs="Arial" w:eastAsia="Arial" w:hAnsi="Arial"/>
          <w:sz w:val="13"/>
          <w:szCs w:val="13"/>
          <w:b w:val="1"/>
          <w:bCs w:val="1"/>
          <w:color w:val="auto"/>
        </w:rPr>
        <w:t>Shell Finance US</w:t>
      </w:r>
      <w:r>
        <w:rPr>
          <w:rFonts w:ascii="Arial" w:cs="Arial" w:eastAsia="Arial" w:hAnsi="Arial"/>
          <w:sz w:val="13"/>
          <w:szCs w:val="13"/>
          <w:color w:val="auto"/>
        </w:rPr>
        <w:t>”), unconditionally guaranteed by the Company as to the payment of principal, premium (if any) and interest pursuant to the Indenture (as defined below) between the Company, Shell Finance US and Deutsche Bank Trust Company Americas. We have taken instructions solely from the Company.</w:t>
      </w:r>
    </w:p>
    <w:p>
      <w:pPr>
        <w:spacing w:after="0" w:line="159" w:lineRule="exact"/>
        <w:rPr>
          <w:rFonts w:ascii="Arial" w:cs="Arial" w:eastAsia="Arial" w:hAnsi="Arial"/>
          <w:sz w:val="13"/>
          <w:szCs w:val="13"/>
          <w:color w:val="auto"/>
        </w:rPr>
      </w:pPr>
    </w:p>
    <w:p>
      <w:pPr>
        <w:jc w:val="both"/>
        <w:ind w:left="740" w:right="1439" w:hanging="399"/>
        <w:spacing w:after="0" w:line="237" w:lineRule="auto"/>
        <w:tabs>
          <w:tab w:leader="none" w:pos="7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This opinion is addressed to the Company and delivered in connection with the registration statement on Form F-4 to be filed with the United States Securities and Exchange Commission on 22 May 2026 (the “</w:t>
      </w:r>
      <w:r>
        <w:rPr>
          <w:rFonts w:ascii="Arial" w:cs="Arial" w:eastAsia="Arial" w:hAnsi="Arial"/>
          <w:sz w:val="13"/>
          <w:szCs w:val="13"/>
          <w:b w:val="1"/>
          <w:bCs w:val="1"/>
          <w:color w:val="auto"/>
        </w:rPr>
        <w:t>Registration Statement</w:t>
      </w:r>
      <w:r>
        <w:rPr>
          <w:rFonts w:ascii="Arial" w:cs="Arial" w:eastAsia="Arial" w:hAnsi="Arial"/>
          <w:sz w:val="13"/>
          <w:szCs w:val="13"/>
          <w:color w:val="auto"/>
        </w:rPr>
        <w:t>”). Other than in connection with the Registration Statement and the issuance of any securities registered thereby, this opinion is not to be transmitted to anyone else nor is it to be reproduced, quoted, summarised or relied upon by anyone else or for any other purpose or quoted or referred to in any public</w:t>
      </w:r>
    </w:p>
    <w:p>
      <w:pPr>
        <w:spacing w:after="0" w:line="355" w:lineRule="exact"/>
        <w:rPr>
          <w:sz w:val="20"/>
          <w:szCs w:val="20"/>
          <w:color w:val="auto"/>
        </w:rPr>
      </w:pPr>
    </w:p>
    <w:tbl>
      <w:tblPr>
        <w:tblLayout w:type="fixed"/>
        <w:tblInd w:w="340" w:type="dxa"/>
        <w:tblCellMar>
          <w:top w:w="0" w:type="dxa"/>
          <w:left w:w="0" w:type="dxa"/>
          <w:bottom w:w="0" w:type="dxa"/>
          <w:right w:w="0" w:type="dxa"/>
        </w:tblCellMar>
      </w:tblPr>
      <w:tr>
        <w:trPr>
          <w:trHeight w:val="80"/>
        </w:trPr>
        <w:tc>
          <w:tcPr>
            <w:tcW w:w="800" w:type="dxa"/>
            <w:vAlign w:val="bottom"/>
          </w:tcPr>
          <w:p>
            <w:pPr>
              <w:spacing w:after="0"/>
              <w:rPr>
                <w:sz w:val="20"/>
                <w:szCs w:val="20"/>
                <w:color w:val="auto"/>
              </w:rPr>
            </w:pPr>
            <w:r>
              <w:rPr>
                <w:rFonts w:ascii="Arial" w:cs="Arial" w:eastAsia="Arial" w:hAnsi="Arial"/>
                <w:sz w:val="7"/>
                <w:szCs w:val="7"/>
                <w:color w:val="auto"/>
              </w:rPr>
              <w:t>RJ Turnill</w:t>
            </w:r>
          </w:p>
        </w:tc>
        <w:tc>
          <w:tcPr>
            <w:tcW w:w="1080" w:type="dxa"/>
            <w:vAlign w:val="bottom"/>
          </w:tcPr>
          <w:p>
            <w:pPr>
              <w:ind w:left="380"/>
              <w:spacing w:after="0"/>
              <w:rPr>
                <w:sz w:val="20"/>
                <w:szCs w:val="20"/>
                <w:color w:val="auto"/>
              </w:rPr>
            </w:pPr>
            <w:r>
              <w:rPr>
                <w:rFonts w:ascii="Arial" w:cs="Arial" w:eastAsia="Arial" w:hAnsi="Arial"/>
                <w:sz w:val="7"/>
                <w:szCs w:val="7"/>
                <w:color w:val="auto"/>
              </w:rPr>
              <w:t>BKP Yu</w:t>
            </w:r>
          </w:p>
        </w:tc>
        <w:tc>
          <w:tcPr>
            <w:tcW w:w="940" w:type="dxa"/>
            <w:vAlign w:val="bottom"/>
          </w:tcPr>
          <w:p>
            <w:pPr>
              <w:ind w:left="240"/>
              <w:spacing w:after="0"/>
              <w:rPr>
                <w:sz w:val="20"/>
                <w:szCs w:val="20"/>
                <w:color w:val="auto"/>
              </w:rPr>
            </w:pPr>
            <w:r>
              <w:rPr>
                <w:rFonts w:ascii="Arial" w:cs="Arial" w:eastAsia="Arial" w:hAnsi="Arial"/>
                <w:sz w:val="7"/>
                <w:szCs w:val="7"/>
                <w:color w:val="auto"/>
              </w:rPr>
              <w:t>PIR Dickson</w:t>
            </w:r>
          </w:p>
        </w:tc>
        <w:tc>
          <w:tcPr>
            <w:tcW w:w="880" w:type="dxa"/>
            <w:vAlign w:val="bottom"/>
          </w:tcPr>
          <w:p>
            <w:pPr>
              <w:ind w:left="220"/>
              <w:spacing w:after="0"/>
              <w:rPr>
                <w:sz w:val="20"/>
                <w:szCs w:val="20"/>
                <w:color w:val="auto"/>
              </w:rPr>
            </w:pPr>
            <w:r>
              <w:rPr>
                <w:rFonts w:ascii="Arial" w:cs="Arial" w:eastAsia="Arial" w:hAnsi="Arial"/>
                <w:sz w:val="7"/>
                <w:szCs w:val="7"/>
                <w:color w:val="auto"/>
              </w:rPr>
              <w:t>SVK Wokes</w:t>
            </w:r>
          </w:p>
        </w:tc>
        <w:tc>
          <w:tcPr>
            <w:tcW w:w="960" w:type="dxa"/>
            <w:vAlign w:val="bottom"/>
          </w:tcPr>
          <w:p>
            <w:pPr>
              <w:ind w:left="240"/>
              <w:spacing w:after="0"/>
              <w:rPr>
                <w:sz w:val="20"/>
                <w:szCs w:val="20"/>
                <w:color w:val="auto"/>
              </w:rPr>
            </w:pPr>
            <w:r>
              <w:rPr>
                <w:rFonts w:ascii="Arial" w:cs="Arial" w:eastAsia="Arial" w:hAnsi="Arial"/>
                <w:sz w:val="7"/>
                <w:szCs w:val="7"/>
                <w:color w:val="auto"/>
              </w:rPr>
              <w:t>CJCN Choi</w:t>
            </w:r>
          </w:p>
        </w:tc>
        <w:tc>
          <w:tcPr>
            <w:tcW w:w="960" w:type="dxa"/>
            <w:vAlign w:val="bottom"/>
          </w:tcPr>
          <w:p>
            <w:pPr>
              <w:ind w:left="200"/>
              <w:spacing w:after="0"/>
              <w:rPr>
                <w:sz w:val="20"/>
                <w:szCs w:val="20"/>
                <w:color w:val="auto"/>
              </w:rPr>
            </w:pPr>
            <w:r>
              <w:rPr>
                <w:rFonts w:ascii="Arial" w:cs="Arial" w:eastAsia="Arial" w:hAnsi="Arial"/>
                <w:sz w:val="7"/>
                <w:szCs w:val="7"/>
                <w:color w:val="auto"/>
              </w:rPr>
              <w:t>CA Cooke</w:t>
            </w:r>
          </w:p>
        </w:tc>
        <w:tc>
          <w:tcPr>
            <w:tcW w:w="880" w:type="dxa"/>
            <w:vAlign w:val="bottom"/>
          </w:tcPr>
          <w:p>
            <w:pPr>
              <w:ind w:left="140"/>
              <w:spacing w:after="0"/>
              <w:rPr>
                <w:sz w:val="20"/>
                <w:szCs w:val="20"/>
                <w:color w:val="auto"/>
              </w:rPr>
            </w:pPr>
            <w:r>
              <w:rPr>
                <w:rFonts w:ascii="Arial" w:cs="Arial" w:eastAsia="Arial" w:hAnsi="Arial"/>
                <w:sz w:val="7"/>
                <w:szCs w:val="7"/>
                <w:color w:val="auto"/>
              </w:rPr>
              <w:t>PJC O’Malley</w:t>
            </w:r>
          </w:p>
        </w:tc>
        <w:tc>
          <w:tcPr>
            <w:tcW w:w="860" w:type="dxa"/>
            <w:vAlign w:val="bottom"/>
          </w:tcPr>
          <w:p>
            <w:pPr>
              <w:ind w:left="180"/>
              <w:spacing w:after="0"/>
              <w:rPr>
                <w:sz w:val="20"/>
                <w:szCs w:val="20"/>
                <w:color w:val="auto"/>
              </w:rPr>
            </w:pPr>
            <w:r>
              <w:rPr>
                <w:rFonts w:ascii="Arial" w:cs="Arial" w:eastAsia="Arial" w:hAnsi="Arial"/>
                <w:sz w:val="7"/>
                <w:szCs w:val="7"/>
                <w:color w:val="auto"/>
              </w:rPr>
              <w:t>OM Ladrowska</w:t>
            </w:r>
          </w:p>
        </w:tc>
        <w:tc>
          <w:tcPr>
            <w:tcW w:w="840" w:type="dxa"/>
            <w:vAlign w:val="bottom"/>
          </w:tcPr>
          <w:p>
            <w:pPr>
              <w:ind w:left="220"/>
              <w:spacing w:after="0"/>
              <w:rPr>
                <w:sz w:val="20"/>
                <w:szCs w:val="20"/>
                <w:color w:val="auto"/>
              </w:rPr>
            </w:pPr>
            <w:r>
              <w:rPr>
                <w:rFonts w:ascii="Arial" w:cs="Arial" w:eastAsia="Arial" w:hAnsi="Arial"/>
                <w:sz w:val="7"/>
                <w:szCs w:val="7"/>
                <w:color w:val="auto"/>
              </w:rPr>
              <w:t>Authorised and</w:t>
            </w:r>
          </w:p>
        </w:tc>
      </w:tr>
      <w:tr>
        <w:trPr>
          <w:trHeight w:val="71"/>
        </w:trPr>
        <w:tc>
          <w:tcPr>
            <w:tcW w:w="800" w:type="dxa"/>
            <w:vAlign w:val="bottom"/>
          </w:tcPr>
          <w:p>
            <w:pPr>
              <w:spacing w:after="0" w:line="72" w:lineRule="exact"/>
              <w:rPr>
                <w:sz w:val="20"/>
                <w:szCs w:val="20"/>
                <w:color w:val="auto"/>
              </w:rPr>
            </w:pPr>
            <w:r>
              <w:rPr>
                <w:rFonts w:ascii="Arial" w:cs="Arial" w:eastAsia="Arial" w:hAnsi="Arial"/>
                <w:sz w:val="7"/>
                <w:szCs w:val="7"/>
                <w:color w:val="auto"/>
              </w:rPr>
              <w:t>SR Galbraith</w:t>
            </w:r>
          </w:p>
        </w:tc>
        <w:tc>
          <w:tcPr>
            <w:tcW w:w="1080" w:type="dxa"/>
            <w:vAlign w:val="bottom"/>
          </w:tcPr>
          <w:p>
            <w:pPr>
              <w:ind w:left="380"/>
              <w:spacing w:after="0" w:line="72" w:lineRule="exact"/>
              <w:rPr>
                <w:sz w:val="20"/>
                <w:szCs w:val="20"/>
                <w:color w:val="auto"/>
              </w:rPr>
            </w:pPr>
            <w:r>
              <w:rPr>
                <w:rFonts w:ascii="Arial" w:cs="Arial" w:eastAsia="Arial" w:hAnsi="Arial"/>
                <w:sz w:val="7"/>
                <w:szCs w:val="7"/>
                <w:color w:val="auto"/>
              </w:rPr>
              <w:t>EC Brown</w:t>
            </w:r>
          </w:p>
        </w:tc>
        <w:tc>
          <w:tcPr>
            <w:tcW w:w="940" w:type="dxa"/>
            <w:vAlign w:val="bottom"/>
          </w:tcPr>
          <w:p>
            <w:pPr>
              <w:ind w:left="240"/>
              <w:spacing w:after="0" w:line="72" w:lineRule="exact"/>
              <w:rPr>
                <w:sz w:val="20"/>
                <w:szCs w:val="20"/>
                <w:color w:val="auto"/>
              </w:rPr>
            </w:pPr>
            <w:r>
              <w:rPr>
                <w:rFonts w:ascii="Arial" w:cs="Arial" w:eastAsia="Arial" w:hAnsi="Arial"/>
                <w:sz w:val="7"/>
                <w:szCs w:val="7"/>
                <w:color w:val="auto"/>
              </w:rPr>
              <w:t>IS Johnson</w:t>
            </w:r>
          </w:p>
        </w:tc>
        <w:tc>
          <w:tcPr>
            <w:tcW w:w="880" w:type="dxa"/>
            <w:vAlign w:val="bottom"/>
          </w:tcPr>
          <w:p>
            <w:pPr>
              <w:ind w:left="220"/>
              <w:spacing w:after="0" w:line="72" w:lineRule="exact"/>
              <w:rPr>
                <w:sz w:val="20"/>
                <w:szCs w:val="20"/>
                <w:color w:val="auto"/>
              </w:rPr>
            </w:pPr>
            <w:r>
              <w:rPr>
                <w:rFonts w:ascii="Arial" w:cs="Arial" w:eastAsia="Arial" w:hAnsi="Arial"/>
                <w:sz w:val="7"/>
                <w:szCs w:val="7"/>
                <w:color w:val="auto"/>
              </w:rPr>
              <w:t>NSA Bonsall</w:t>
            </w:r>
          </w:p>
        </w:tc>
        <w:tc>
          <w:tcPr>
            <w:tcW w:w="960" w:type="dxa"/>
            <w:vAlign w:val="bottom"/>
          </w:tcPr>
          <w:p>
            <w:pPr>
              <w:ind w:left="240"/>
              <w:spacing w:after="0" w:line="72" w:lineRule="exact"/>
              <w:rPr>
                <w:sz w:val="20"/>
                <w:szCs w:val="20"/>
                <w:color w:val="auto"/>
              </w:rPr>
            </w:pPr>
            <w:r>
              <w:rPr>
                <w:rFonts w:ascii="Arial" w:cs="Arial" w:eastAsia="Arial" w:hAnsi="Arial"/>
                <w:sz w:val="7"/>
                <w:szCs w:val="7"/>
                <w:color w:val="auto"/>
              </w:rPr>
              <w:t>NM Pacheco</w:t>
            </w:r>
          </w:p>
        </w:tc>
        <w:tc>
          <w:tcPr>
            <w:tcW w:w="960" w:type="dxa"/>
            <w:vAlign w:val="bottom"/>
          </w:tcPr>
          <w:p>
            <w:pPr>
              <w:ind w:left="200"/>
              <w:spacing w:after="0" w:line="72" w:lineRule="exact"/>
              <w:rPr>
                <w:sz w:val="20"/>
                <w:szCs w:val="20"/>
                <w:color w:val="auto"/>
              </w:rPr>
            </w:pPr>
            <w:r>
              <w:rPr>
                <w:rFonts w:ascii="Arial" w:cs="Arial" w:eastAsia="Arial" w:hAnsi="Arial"/>
                <w:sz w:val="7"/>
                <w:szCs w:val="7"/>
                <w:color w:val="auto"/>
              </w:rPr>
              <w:t>LJ Houston</w:t>
            </w:r>
          </w:p>
        </w:tc>
        <w:tc>
          <w:tcPr>
            <w:tcW w:w="880" w:type="dxa"/>
            <w:vAlign w:val="bottom"/>
          </w:tcPr>
          <w:p>
            <w:pPr>
              <w:ind w:left="140"/>
              <w:spacing w:after="0" w:line="72" w:lineRule="exact"/>
              <w:rPr>
                <w:sz w:val="20"/>
                <w:szCs w:val="20"/>
                <w:color w:val="auto"/>
              </w:rPr>
            </w:pPr>
            <w:r>
              <w:rPr>
                <w:rFonts w:ascii="Arial" w:cs="Arial" w:eastAsia="Arial" w:hAnsi="Arial"/>
                <w:sz w:val="7"/>
                <w:szCs w:val="7"/>
                <w:color w:val="auto"/>
              </w:rPr>
              <w:t>SE Osprey</w:t>
            </w:r>
          </w:p>
        </w:tc>
        <w:tc>
          <w:tcPr>
            <w:tcW w:w="860" w:type="dxa"/>
            <w:vAlign w:val="bottom"/>
          </w:tcPr>
          <w:p>
            <w:pPr>
              <w:ind w:left="180"/>
              <w:spacing w:after="0" w:line="72" w:lineRule="exact"/>
              <w:rPr>
                <w:sz w:val="20"/>
                <w:szCs w:val="20"/>
                <w:color w:val="auto"/>
              </w:rPr>
            </w:pPr>
            <w:r>
              <w:rPr>
                <w:rFonts w:ascii="Arial" w:cs="Arial" w:eastAsia="Arial" w:hAnsi="Arial"/>
                <w:sz w:val="7"/>
                <w:szCs w:val="7"/>
                <w:color w:val="auto"/>
              </w:rPr>
              <w:t>DM Mewton</w:t>
            </w:r>
          </w:p>
        </w:tc>
        <w:tc>
          <w:tcPr>
            <w:tcW w:w="840" w:type="dxa"/>
            <w:vAlign w:val="bottom"/>
          </w:tcPr>
          <w:p>
            <w:pPr>
              <w:ind w:left="220"/>
              <w:spacing w:after="0" w:line="72" w:lineRule="exact"/>
              <w:rPr>
                <w:sz w:val="20"/>
                <w:szCs w:val="20"/>
                <w:color w:val="auto"/>
              </w:rPr>
            </w:pPr>
            <w:r>
              <w:rPr>
                <w:rFonts w:ascii="Arial" w:cs="Arial" w:eastAsia="Arial" w:hAnsi="Arial"/>
                <w:sz w:val="7"/>
                <w:szCs w:val="7"/>
                <w:color w:val="auto"/>
              </w:rPr>
              <w:t>regulated</w:t>
            </w:r>
          </w:p>
        </w:tc>
      </w:tr>
      <w:tr>
        <w:trPr>
          <w:trHeight w:val="71"/>
        </w:trPr>
        <w:tc>
          <w:tcPr>
            <w:tcW w:w="800" w:type="dxa"/>
            <w:vAlign w:val="bottom"/>
          </w:tcPr>
          <w:p>
            <w:pPr>
              <w:spacing w:after="0" w:line="72" w:lineRule="exact"/>
              <w:rPr>
                <w:sz w:val="20"/>
                <w:szCs w:val="20"/>
                <w:color w:val="auto"/>
              </w:rPr>
            </w:pPr>
            <w:r>
              <w:rPr>
                <w:rFonts w:ascii="Arial" w:cs="Arial" w:eastAsia="Arial" w:hAnsi="Arial"/>
                <w:sz w:val="7"/>
                <w:szCs w:val="7"/>
                <w:color w:val="auto"/>
              </w:rPr>
              <w:t>DJO Schaffer</w:t>
            </w:r>
          </w:p>
        </w:tc>
        <w:tc>
          <w:tcPr>
            <w:tcW w:w="1080" w:type="dxa"/>
            <w:vAlign w:val="bottom"/>
          </w:tcPr>
          <w:p>
            <w:pPr>
              <w:ind w:left="380"/>
              <w:spacing w:after="0" w:line="72" w:lineRule="exact"/>
              <w:rPr>
                <w:sz w:val="20"/>
                <w:szCs w:val="20"/>
                <w:color w:val="auto"/>
              </w:rPr>
            </w:pPr>
            <w:r>
              <w:rPr>
                <w:rFonts w:ascii="Arial" w:cs="Arial" w:eastAsia="Arial" w:hAnsi="Arial"/>
                <w:sz w:val="7"/>
                <w:szCs w:val="7"/>
                <w:color w:val="auto"/>
              </w:rPr>
              <w:t>J Edwarde</w:t>
            </w:r>
          </w:p>
        </w:tc>
        <w:tc>
          <w:tcPr>
            <w:tcW w:w="940" w:type="dxa"/>
            <w:vAlign w:val="bottom"/>
          </w:tcPr>
          <w:p>
            <w:pPr>
              <w:ind w:left="240"/>
              <w:spacing w:after="0" w:line="72" w:lineRule="exact"/>
              <w:rPr>
                <w:sz w:val="20"/>
                <w:szCs w:val="20"/>
                <w:color w:val="auto"/>
              </w:rPr>
            </w:pPr>
            <w:r>
              <w:rPr>
                <w:rFonts w:ascii="Arial" w:cs="Arial" w:eastAsia="Arial" w:hAnsi="Arial"/>
                <w:sz w:val="7"/>
                <w:szCs w:val="7"/>
                <w:color w:val="auto"/>
              </w:rPr>
              <w:t>RM Jones</w:t>
            </w:r>
          </w:p>
        </w:tc>
        <w:tc>
          <w:tcPr>
            <w:tcW w:w="880" w:type="dxa"/>
            <w:vAlign w:val="bottom"/>
          </w:tcPr>
          <w:p>
            <w:pPr>
              <w:ind w:left="220"/>
              <w:spacing w:after="0" w:line="72" w:lineRule="exact"/>
              <w:rPr>
                <w:sz w:val="20"/>
                <w:szCs w:val="20"/>
                <w:color w:val="auto"/>
              </w:rPr>
            </w:pPr>
            <w:r>
              <w:rPr>
                <w:rFonts w:ascii="Arial" w:cs="Arial" w:eastAsia="Arial" w:hAnsi="Arial"/>
                <w:sz w:val="7"/>
                <w:szCs w:val="7"/>
                <w:color w:val="auto"/>
              </w:rPr>
              <w:t>RCT Jeens</w:t>
            </w:r>
          </w:p>
        </w:tc>
        <w:tc>
          <w:tcPr>
            <w:tcW w:w="960" w:type="dxa"/>
            <w:vAlign w:val="bottom"/>
          </w:tcPr>
          <w:p>
            <w:pPr>
              <w:ind w:left="240"/>
              <w:spacing w:after="0" w:line="72" w:lineRule="exact"/>
              <w:rPr>
                <w:sz w:val="20"/>
                <w:szCs w:val="20"/>
                <w:color w:val="auto"/>
              </w:rPr>
            </w:pPr>
            <w:r>
              <w:rPr>
                <w:rFonts w:ascii="Arial" w:cs="Arial" w:eastAsia="Arial" w:hAnsi="Arial"/>
                <w:sz w:val="7"/>
                <w:szCs w:val="7"/>
                <w:color w:val="auto"/>
              </w:rPr>
              <w:t>CL Sanger</w:t>
            </w:r>
          </w:p>
        </w:tc>
        <w:tc>
          <w:tcPr>
            <w:tcW w:w="960" w:type="dxa"/>
            <w:vAlign w:val="bottom"/>
          </w:tcPr>
          <w:p>
            <w:pPr>
              <w:ind w:left="200"/>
              <w:spacing w:after="0" w:line="72" w:lineRule="exact"/>
              <w:rPr>
                <w:sz w:val="20"/>
                <w:szCs w:val="20"/>
                <w:color w:val="auto"/>
              </w:rPr>
            </w:pPr>
            <w:r>
              <w:rPr>
                <w:rFonts w:ascii="Arial" w:cs="Arial" w:eastAsia="Arial" w:hAnsi="Arial"/>
                <w:sz w:val="7"/>
                <w:szCs w:val="7"/>
                <w:color w:val="auto"/>
              </w:rPr>
              <w:t>CW McGarel-Groves</w:t>
            </w:r>
          </w:p>
        </w:tc>
        <w:tc>
          <w:tcPr>
            <w:tcW w:w="880" w:type="dxa"/>
            <w:vAlign w:val="bottom"/>
          </w:tcPr>
          <w:p>
            <w:pPr>
              <w:ind w:left="140"/>
              <w:spacing w:after="0" w:line="72" w:lineRule="exact"/>
              <w:rPr>
                <w:sz w:val="20"/>
                <w:szCs w:val="20"/>
                <w:color w:val="auto"/>
              </w:rPr>
            </w:pPr>
            <w:r>
              <w:rPr>
                <w:rFonts w:ascii="Arial" w:cs="Arial" w:eastAsia="Arial" w:hAnsi="Arial"/>
                <w:sz w:val="7"/>
                <w:szCs w:val="7"/>
                <w:color w:val="auto"/>
              </w:rPr>
              <w:t>DA Shone</w:t>
            </w:r>
          </w:p>
        </w:tc>
        <w:tc>
          <w:tcPr>
            <w:tcW w:w="860" w:type="dxa"/>
            <w:vAlign w:val="bottom"/>
          </w:tcPr>
          <w:p>
            <w:pPr>
              <w:ind w:left="180"/>
              <w:spacing w:after="0" w:line="72" w:lineRule="exact"/>
              <w:rPr>
                <w:sz w:val="20"/>
                <w:szCs w:val="20"/>
                <w:color w:val="auto"/>
              </w:rPr>
            </w:pPr>
            <w:r>
              <w:rPr>
                <w:rFonts w:ascii="Arial" w:cs="Arial" w:eastAsia="Arial" w:hAnsi="Arial"/>
                <w:sz w:val="7"/>
                <w:szCs w:val="7"/>
                <w:color w:val="auto"/>
              </w:rPr>
              <w:t>JOD Wharton</w:t>
            </w:r>
          </w:p>
        </w:tc>
        <w:tc>
          <w:tcPr>
            <w:tcW w:w="840" w:type="dxa"/>
            <w:vAlign w:val="bottom"/>
          </w:tcPr>
          <w:p>
            <w:pPr>
              <w:ind w:left="220"/>
              <w:spacing w:after="0" w:line="72" w:lineRule="exact"/>
              <w:rPr>
                <w:sz w:val="20"/>
                <w:szCs w:val="20"/>
                <w:color w:val="auto"/>
              </w:rPr>
            </w:pPr>
            <w:r>
              <w:rPr>
                <w:rFonts w:ascii="Arial" w:cs="Arial" w:eastAsia="Arial" w:hAnsi="Arial"/>
                <w:sz w:val="7"/>
                <w:szCs w:val="7"/>
                <w:color w:val="auto"/>
              </w:rPr>
              <w:t>by the Solicitors</w:t>
            </w:r>
          </w:p>
        </w:tc>
      </w:tr>
      <w:tr>
        <w:trPr>
          <w:trHeight w:val="71"/>
        </w:trPr>
        <w:tc>
          <w:tcPr>
            <w:tcW w:w="800" w:type="dxa"/>
            <w:vAlign w:val="bottom"/>
          </w:tcPr>
          <w:p>
            <w:pPr>
              <w:spacing w:after="0" w:line="72" w:lineRule="exact"/>
              <w:rPr>
                <w:sz w:val="20"/>
                <w:szCs w:val="20"/>
                <w:color w:val="auto"/>
              </w:rPr>
            </w:pPr>
            <w:r>
              <w:rPr>
                <w:rFonts w:ascii="Arial" w:cs="Arial" w:eastAsia="Arial" w:hAnsi="Arial"/>
                <w:sz w:val="7"/>
                <w:szCs w:val="7"/>
                <w:color w:val="auto"/>
              </w:rPr>
              <w:t>DR Johnson</w:t>
            </w:r>
          </w:p>
        </w:tc>
        <w:tc>
          <w:tcPr>
            <w:tcW w:w="1080" w:type="dxa"/>
            <w:vAlign w:val="bottom"/>
          </w:tcPr>
          <w:p>
            <w:pPr>
              <w:ind w:left="380"/>
              <w:spacing w:after="0" w:line="72" w:lineRule="exact"/>
              <w:rPr>
                <w:sz w:val="20"/>
                <w:szCs w:val="20"/>
                <w:color w:val="auto"/>
              </w:rPr>
            </w:pPr>
            <w:r>
              <w:rPr>
                <w:rFonts w:ascii="Arial" w:cs="Arial" w:eastAsia="Arial" w:hAnsi="Arial"/>
                <w:sz w:val="7"/>
                <w:szCs w:val="7"/>
                <w:color w:val="auto"/>
              </w:rPr>
              <w:t>AD Jolly</w:t>
            </w:r>
          </w:p>
        </w:tc>
        <w:tc>
          <w:tcPr>
            <w:tcW w:w="940" w:type="dxa"/>
            <w:vAlign w:val="bottom"/>
          </w:tcPr>
          <w:p>
            <w:pPr>
              <w:ind w:left="240"/>
              <w:spacing w:after="0" w:line="72" w:lineRule="exact"/>
              <w:rPr>
                <w:sz w:val="20"/>
                <w:szCs w:val="20"/>
                <w:color w:val="auto"/>
              </w:rPr>
            </w:pPr>
            <w:r>
              <w:rPr>
                <w:rFonts w:ascii="Arial" w:cs="Arial" w:eastAsia="Arial" w:hAnsi="Arial"/>
                <w:sz w:val="7"/>
                <w:szCs w:val="7"/>
                <w:color w:val="auto"/>
              </w:rPr>
              <w:t>EJ Fife</w:t>
            </w:r>
          </w:p>
        </w:tc>
        <w:tc>
          <w:tcPr>
            <w:tcW w:w="880" w:type="dxa"/>
            <w:vAlign w:val="bottom"/>
          </w:tcPr>
          <w:p>
            <w:pPr>
              <w:ind w:left="220"/>
              <w:spacing w:after="0" w:line="72" w:lineRule="exact"/>
              <w:rPr>
                <w:sz w:val="20"/>
                <w:szCs w:val="20"/>
                <w:color w:val="auto"/>
              </w:rPr>
            </w:pPr>
            <w:r>
              <w:rPr>
                <w:rFonts w:ascii="Arial" w:cs="Arial" w:eastAsia="Arial" w:hAnsi="Arial"/>
                <w:sz w:val="7"/>
                <w:szCs w:val="7"/>
                <w:color w:val="auto"/>
              </w:rPr>
              <w:t>V MacDuff</w:t>
            </w:r>
          </w:p>
        </w:tc>
        <w:tc>
          <w:tcPr>
            <w:tcW w:w="960" w:type="dxa"/>
            <w:vAlign w:val="bottom"/>
          </w:tcPr>
          <w:p>
            <w:pPr>
              <w:ind w:left="240"/>
              <w:spacing w:after="0" w:line="72" w:lineRule="exact"/>
              <w:rPr>
                <w:sz w:val="20"/>
                <w:szCs w:val="20"/>
                <w:color w:val="auto"/>
              </w:rPr>
            </w:pPr>
            <w:r>
              <w:rPr>
                <w:rFonts w:ascii="Arial" w:cs="Arial" w:eastAsia="Arial" w:hAnsi="Arial"/>
                <w:sz w:val="7"/>
                <w:szCs w:val="7"/>
                <w:color w:val="auto"/>
              </w:rPr>
              <w:t>HE Ware</w:t>
            </w:r>
          </w:p>
        </w:tc>
        <w:tc>
          <w:tcPr>
            <w:tcW w:w="960" w:type="dxa"/>
            <w:vAlign w:val="bottom"/>
          </w:tcPr>
          <w:p>
            <w:pPr>
              <w:ind w:left="200"/>
              <w:spacing w:after="0" w:line="72" w:lineRule="exact"/>
              <w:rPr>
                <w:sz w:val="20"/>
                <w:szCs w:val="20"/>
                <w:color w:val="auto"/>
              </w:rPr>
            </w:pPr>
            <w:r>
              <w:rPr>
                <w:rFonts w:ascii="Arial" w:cs="Arial" w:eastAsia="Arial" w:hAnsi="Arial"/>
                <w:sz w:val="7"/>
                <w:szCs w:val="7"/>
                <w:color w:val="auto"/>
              </w:rPr>
              <w:t>PD Wickham</w:t>
            </w:r>
          </w:p>
        </w:tc>
        <w:tc>
          <w:tcPr>
            <w:tcW w:w="880" w:type="dxa"/>
            <w:vAlign w:val="bottom"/>
          </w:tcPr>
          <w:p>
            <w:pPr>
              <w:ind w:left="140"/>
              <w:spacing w:after="0" w:line="72" w:lineRule="exact"/>
              <w:rPr>
                <w:sz w:val="20"/>
                <w:szCs w:val="20"/>
                <w:color w:val="auto"/>
              </w:rPr>
            </w:pPr>
            <w:r>
              <w:rPr>
                <w:rFonts w:ascii="Arial" w:cs="Arial" w:eastAsia="Arial" w:hAnsi="Arial"/>
                <w:sz w:val="7"/>
                <w:szCs w:val="7"/>
                <w:color w:val="auto"/>
              </w:rPr>
              <w:t>S Sriram</w:t>
            </w:r>
          </w:p>
        </w:tc>
        <w:tc>
          <w:tcPr>
            <w:tcW w:w="860" w:type="dxa"/>
            <w:vAlign w:val="bottom"/>
          </w:tcPr>
          <w:p>
            <w:pPr>
              <w:ind w:left="180"/>
              <w:spacing w:after="0" w:line="72" w:lineRule="exact"/>
              <w:rPr>
                <w:sz w:val="20"/>
                <w:szCs w:val="20"/>
                <w:color w:val="auto"/>
              </w:rPr>
            </w:pPr>
            <w:r>
              <w:rPr>
                <w:rFonts w:ascii="Arial" w:cs="Arial" w:eastAsia="Arial" w:hAnsi="Arial"/>
                <w:sz w:val="7"/>
                <w:szCs w:val="7"/>
                <w:color w:val="auto"/>
              </w:rPr>
              <w:t>SR Bartle</w:t>
            </w:r>
          </w:p>
        </w:tc>
        <w:tc>
          <w:tcPr>
            <w:tcW w:w="840" w:type="dxa"/>
            <w:vAlign w:val="bottom"/>
          </w:tcPr>
          <w:p>
            <w:pPr>
              <w:ind w:left="220"/>
              <w:spacing w:after="0" w:line="72" w:lineRule="exact"/>
              <w:rPr>
                <w:sz w:val="20"/>
                <w:szCs w:val="20"/>
                <w:color w:val="auto"/>
              </w:rPr>
            </w:pPr>
            <w:r>
              <w:rPr>
                <w:rFonts w:ascii="Arial" w:cs="Arial" w:eastAsia="Arial" w:hAnsi="Arial"/>
                <w:sz w:val="7"/>
                <w:szCs w:val="7"/>
                <w:color w:val="auto"/>
                <w:w w:val="95"/>
              </w:rPr>
              <w:t>Regulation Authority</w:t>
            </w:r>
          </w:p>
        </w:tc>
      </w:tr>
      <w:tr>
        <w:trPr>
          <w:trHeight w:val="71"/>
        </w:trPr>
        <w:tc>
          <w:tcPr>
            <w:tcW w:w="800" w:type="dxa"/>
            <w:vAlign w:val="bottom"/>
          </w:tcPr>
          <w:p>
            <w:pPr>
              <w:spacing w:after="0" w:line="72" w:lineRule="exact"/>
              <w:rPr>
                <w:sz w:val="20"/>
                <w:szCs w:val="20"/>
                <w:color w:val="auto"/>
              </w:rPr>
            </w:pPr>
            <w:r>
              <w:rPr>
                <w:rFonts w:ascii="Arial" w:cs="Arial" w:eastAsia="Arial" w:hAnsi="Arial"/>
                <w:sz w:val="7"/>
                <w:szCs w:val="7"/>
                <w:color w:val="auto"/>
              </w:rPr>
              <w:t>RA Swallow</w:t>
            </w:r>
          </w:p>
        </w:tc>
        <w:tc>
          <w:tcPr>
            <w:tcW w:w="1080" w:type="dxa"/>
            <w:vAlign w:val="bottom"/>
          </w:tcPr>
          <w:p>
            <w:pPr>
              <w:ind w:left="380"/>
              <w:spacing w:after="0" w:line="72" w:lineRule="exact"/>
              <w:rPr>
                <w:sz w:val="20"/>
                <w:szCs w:val="20"/>
                <w:color w:val="auto"/>
              </w:rPr>
            </w:pPr>
            <w:r>
              <w:rPr>
                <w:rFonts w:ascii="Arial" w:cs="Arial" w:eastAsia="Arial" w:hAnsi="Arial"/>
                <w:sz w:val="7"/>
                <w:szCs w:val="7"/>
                <w:color w:val="auto"/>
              </w:rPr>
              <w:t>JS Nevin</w:t>
            </w:r>
          </w:p>
        </w:tc>
        <w:tc>
          <w:tcPr>
            <w:tcW w:w="940" w:type="dxa"/>
            <w:vAlign w:val="bottom"/>
          </w:tcPr>
          <w:p>
            <w:pPr>
              <w:ind w:left="240"/>
              <w:spacing w:after="0" w:line="72" w:lineRule="exact"/>
              <w:rPr>
                <w:sz w:val="20"/>
                <w:szCs w:val="20"/>
                <w:color w:val="auto"/>
              </w:rPr>
            </w:pPr>
            <w:r>
              <w:rPr>
                <w:rFonts w:ascii="Arial" w:cs="Arial" w:eastAsia="Arial" w:hAnsi="Arial"/>
                <w:sz w:val="7"/>
                <w:szCs w:val="7"/>
                <w:color w:val="auto"/>
              </w:rPr>
              <w:t>JP Stacey</w:t>
            </w:r>
          </w:p>
        </w:tc>
        <w:tc>
          <w:tcPr>
            <w:tcW w:w="880" w:type="dxa"/>
            <w:vAlign w:val="bottom"/>
          </w:tcPr>
          <w:p>
            <w:pPr>
              <w:ind w:left="220"/>
              <w:spacing w:after="0" w:line="72" w:lineRule="exact"/>
              <w:rPr>
                <w:sz w:val="20"/>
                <w:szCs w:val="20"/>
                <w:color w:val="auto"/>
              </w:rPr>
            </w:pPr>
            <w:r>
              <w:rPr>
                <w:rFonts w:ascii="Arial" w:cs="Arial" w:eastAsia="Arial" w:hAnsi="Arial"/>
                <w:sz w:val="7"/>
                <w:szCs w:val="7"/>
                <w:color w:val="auto"/>
              </w:rPr>
              <w:t>DM Taylor</w:t>
            </w:r>
          </w:p>
        </w:tc>
        <w:tc>
          <w:tcPr>
            <w:tcW w:w="960" w:type="dxa"/>
            <w:vAlign w:val="bottom"/>
          </w:tcPr>
          <w:p>
            <w:pPr>
              <w:ind w:left="240"/>
              <w:spacing w:after="0" w:line="72" w:lineRule="exact"/>
              <w:rPr>
                <w:sz w:val="20"/>
                <w:szCs w:val="20"/>
                <w:color w:val="auto"/>
              </w:rPr>
            </w:pPr>
            <w:r>
              <w:rPr>
                <w:rFonts w:ascii="Arial" w:cs="Arial" w:eastAsia="Arial" w:hAnsi="Arial"/>
                <w:sz w:val="7"/>
                <w:szCs w:val="7"/>
                <w:color w:val="auto"/>
              </w:rPr>
              <w:t>HJ Bacon</w:t>
            </w:r>
          </w:p>
        </w:tc>
        <w:tc>
          <w:tcPr>
            <w:tcW w:w="960" w:type="dxa"/>
            <w:vAlign w:val="bottom"/>
          </w:tcPr>
          <w:p>
            <w:pPr>
              <w:ind w:left="200"/>
              <w:spacing w:after="0" w:line="72" w:lineRule="exact"/>
              <w:rPr>
                <w:sz w:val="20"/>
                <w:szCs w:val="20"/>
                <w:color w:val="auto"/>
              </w:rPr>
            </w:pPr>
            <w:r>
              <w:rPr>
                <w:rFonts w:ascii="Arial" w:cs="Arial" w:eastAsia="Arial" w:hAnsi="Arial"/>
                <w:sz w:val="7"/>
                <w:szCs w:val="7"/>
                <w:color w:val="auto"/>
              </w:rPr>
              <w:t>RR Hilton</w:t>
            </w:r>
          </w:p>
        </w:tc>
        <w:tc>
          <w:tcPr>
            <w:tcW w:w="880" w:type="dxa"/>
            <w:vAlign w:val="bottom"/>
          </w:tcPr>
          <w:p>
            <w:pPr>
              <w:ind w:left="140"/>
              <w:spacing w:after="0" w:line="72" w:lineRule="exact"/>
              <w:rPr>
                <w:sz w:val="20"/>
                <w:szCs w:val="20"/>
                <w:color w:val="auto"/>
              </w:rPr>
            </w:pPr>
            <w:r>
              <w:rPr>
                <w:rFonts w:ascii="Arial" w:cs="Arial" w:eastAsia="Arial" w:hAnsi="Arial"/>
                <w:sz w:val="7"/>
                <w:szCs w:val="7"/>
                <w:color w:val="auto"/>
              </w:rPr>
              <w:t>HK Sumanasuriya</w:t>
            </w:r>
          </w:p>
        </w:tc>
        <w:tc>
          <w:tcPr>
            <w:tcW w:w="860" w:type="dxa"/>
            <w:vAlign w:val="bottom"/>
          </w:tcPr>
          <w:p>
            <w:pPr>
              <w:ind w:left="180"/>
              <w:spacing w:after="0" w:line="72" w:lineRule="exact"/>
              <w:rPr>
                <w:sz w:val="20"/>
                <w:szCs w:val="20"/>
                <w:color w:val="auto"/>
              </w:rPr>
            </w:pPr>
            <w:r>
              <w:rPr>
                <w:rFonts w:ascii="Arial" w:cs="Arial" w:eastAsia="Arial" w:hAnsi="Arial"/>
                <w:sz w:val="7"/>
                <w:szCs w:val="7"/>
                <w:color w:val="auto"/>
              </w:rPr>
              <w:t>J Dickie</w:t>
            </w:r>
          </w:p>
        </w:tc>
        <w:tc>
          <w:tcPr>
            <w:tcW w:w="840" w:type="dxa"/>
            <w:vAlign w:val="bottom"/>
          </w:tcPr>
          <w:p>
            <w:pPr>
              <w:ind w:left="220"/>
              <w:spacing w:after="0" w:line="72" w:lineRule="exact"/>
              <w:rPr>
                <w:sz w:val="20"/>
                <w:szCs w:val="20"/>
                <w:color w:val="auto"/>
              </w:rPr>
            </w:pPr>
            <w:r>
              <w:rPr>
                <w:rFonts w:ascii="Arial" w:cs="Arial" w:eastAsia="Arial" w:hAnsi="Arial"/>
                <w:sz w:val="7"/>
                <w:szCs w:val="7"/>
                <w:color w:val="auto"/>
              </w:rPr>
              <w:t>Firm SRA number</w:t>
            </w:r>
          </w:p>
        </w:tc>
      </w:tr>
      <w:tr>
        <w:trPr>
          <w:trHeight w:val="71"/>
        </w:trPr>
        <w:tc>
          <w:tcPr>
            <w:tcW w:w="800" w:type="dxa"/>
            <w:vAlign w:val="bottom"/>
          </w:tcPr>
          <w:p>
            <w:pPr>
              <w:spacing w:after="0" w:line="72" w:lineRule="exact"/>
              <w:rPr>
                <w:sz w:val="20"/>
                <w:szCs w:val="20"/>
                <w:color w:val="auto"/>
              </w:rPr>
            </w:pPr>
            <w:r>
              <w:rPr>
                <w:rFonts w:ascii="Arial" w:cs="Arial" w:eastAsia="Arial" w:hAnsi="Arial"/>
                <w:sz w:val="7"/>
                <w:szCs w:val="7"/>
                <w:color w:val="auto"/>
              </w:rPr>
              <w:t>CS Cameron</w:t>
            </w:r>
          </w:p>
        </w:tc>
        <w:tc>
          <w:tcPr>
            <w:tcW w:w="1080" w:type="dxa"/>
            <w:vAlign w:val="bottom"/>
          </w:tcPr>
          <w:p>
            <w:pPr>
              <w:ind w:left="380"/>
              <w:spacing w:after="0" w:line="72" w:lineRule="exact"/>
              <w:rPr>
                <w:sz w:val="20"/>
                <w:szCs w:val="20"/>
                <w:color w:val="auto"/>
              </w:rPr>
            </w:pPr>
            <w:r>
              <w:rPr>
                <w:rFonts w:ascii="Arial" w:cs="Arial" w:eastAsia="Arial" w:hAnsi="Arial"/>
                <w:sz w:val="7"/>
                <w:szCs w:val="7"/>
                <w:color w:val="auto"/>
              </w:rPr>
              <w:t>RA Byk</w:t>
            </w:r>
          </w:p>
        </w:tc>
        <w:tc>
          <w:tcPr>
            <w:tcW w:w="940" w:type="dxa"/>
            <w:vAlign w:val="bottom"/>
          </w:tcPr>
          <w:p>
            <w:pPr>
              <w:ind w:left="240"/>
              <w:spacing w:after="0" w:line="72" w:lineRule="exact"/>
              <w:rPr>
                <w:sz w:val="20"/>
                <w:szCs w:val="20"/>
                <w:color w:val="auto"/>
              </w:rPr>
            </w:pPr>
            <w:r>
              <w:rPr>
                <w:rFonts w:ascii="Arial" w:cs="Arial" w:eastAsia="Arial" w:hAnsi="Arial"/>
                <w:sz w:val="7"/>
                <w:szCs w:val="7"/>
                <w:color w:val="auto"/>
              </w:rPr>
              <w:t>LJ Wright</w:t>
            </w:r>
          </w:p>
        </w:tc>
        <w:tc>
          <w:tcPr>
            <w:tcW w:w="880" w:type="dxa"/>
            <w:vAlign w:val="bottom"/>
          </w:tcPr>
          <w:p>
            <w:pPr>
              <w:ind w:left="220"/>
              <w:spacing w:after="0" w:line="72" w:lineRule="exact"/>
              <w:rPr>
                <w:sz w:val="20"/>
                <w:szCs w:val="20"/>
                <w:color w:val="auto"/>
              </w:rPr>
            </w:pPr>
            <w:r>
              <w:rPr>
                <w:rFonts w:ascii="Arial" w:cs="Arial" w:eastAsia="Arial" w:hAnsi="Arial"/>
                <w:sz w:val="7"/>
                <w:szCs w:val="7"/>
                <w:color w:val="auto"/>
              </w:rPr>
              <w:t>RJ Todd</w:t>
            </w:r>
          </w:p>
        </w:tc>
        <w:tc>
          <w:tcPr>
            <w:tcW w:w="960" w:type="dxa"/>
            <w:vAlign w:val="bottom"/>
          </w:tcPr>
          <w:p>
            <w:pPr>
              <w:ind w:left="240"/>
              <w:spacing w:after="0" w:line="72" w:lineRule="exact"/>
              <w:rPr>
                <w:sz w:val="20"/>
                <w:szCs w:val="20"/>
                <w:color w:val="auto"/>
              </w:rPr>
            </w:pPr>
            <w:r>
              <w:rPr>
                <w:rFonts w:ascii="Arial" w:cs="Arial" w:eastAsia="Arial" w:hAnsi="Arial"/>
                <w:sz w:val="7"/>
                <w:szCs w:val="7"/>
                <w:color w:val="auto"/>
              </w:rPr>
              <w:t>TR Blanchard</w:t>
            </w:r>
          </w:p>
        </w:tc>
        <w:tc>
          <w:tcPr>
            <w:tcW w:w="960" w:type="dxa"/>
            <w:vAlign w:val="bottom"/>
          </w:tcPr>
          <w:p>
            <w:pPr>
              <w:ind w:left="200"/>
              <w:spacing w:after="0" w:line="72" w:lineRule="exact"/>
              <w:rPr>
                <w:sz w:val="20"/>
                <w:szCs w:val="20"/>
                <w:color w:val="auto"/>
              </w:rPr>
            </w:pPr>
            <w:r>
              <w:rPr>
                <w:rFonts w:ascii="Arial" w:cs="Arial" w:eastAsia="Arial" w:hAnsi="Arial"/>
                <w:sz w:val="7"/>
                <w:szCs w:val="7"/>
                <w:color w:val="auto"/>
              </w:rPr>
              <w:t>KM Howes</w:t>
            </w:r>
          </w:p>
        </w:tc>
        <w:tc>
          <w:tcPr>
            <w:tcW w:w="880" w:type="dxa"/>
            <w:vAlign w:val="bottom"/>
          </w:tcPr>
          <w:p>
            <w:pPr>
              <w:ind w:left="140"/>
              <w:spacing w:after="0" w:line="72" w:lineRule="exact"/>
              <w:rPr>
                <w:sz w:val="20"/>
                <w:szCs w:val="20"/>
                <w:color w:val="auto"/>
              </w:rPr>
            </w:pPr>
            <w:r>
              <w:rPr>
                <w:rFonts w:ascii="Arial" w:cs="Arial" w:eastAsia="Arial" w:hAnsi="Arial"/>
                <w:sz w:val="7"/>
                <w:szCs w:val="7"/>
                <w:color w:val="auto"/>
              </w:rPr>
              <w:t>SC Tysoe</w:t>
            </w:r>
          </w:p>
        </w:tc>
        <w:tc>
          <w:tcPr>
            <w:tcW w:w="860" w:type="dxa"/>
            <w:vAlign w:val="bottom"/>
          </w:tcPr>
          <w:p>
            <w:pPr>
              <w:ind w:left="180"/>
              <w:spacing w:after="0" w:line="72" w:lineRule="exact"/>
              <w:rPr>
                <w:sz w:val="20"/>
                <w:szCs w:val="20"/>
                <w:color w:val="auto"/>
              </w:rPr>
            </w:pPr>
            <w:r>
              <w:rPr>
                <w:rFonts w:ascii="Arial" w:cs="Arial" w:eastAsia="Arial" w:hAnsi="Arial"/>
                <w:sz w:val="7"/>
                <w:szCs w:val="7"/>
                <w:color w:val="auto"/>
              </w:rPr>
              <w:t>MW Gulliford</w:t>
            </w:r>
          </w:p>
        </w:tc>
        <w:tc>
          <w:tcPr>
            <w:tcW w:w="840" w:type="dxa"/>
            <w:vAlign w:val="bottom"/>
          </w:tcPr>
          <w:p>
            <w:pPr>
              <w:ind w:left="220"/>
              <w:spacing w:after="0" w:line="72" w:lineRule="exact"/>
              <w:rPr>
                <w:sz w:val="20"/>
                <w:szCs w:val="20"/>
                <w:color w:val="auto"/>
              </w:rPr>
            </w:pPr>
            <w:r>
              <w:rPr>
                <w:rFonts w:ascii="Arial" w:cs="Arial" w:eastAsia="Arial" w:hAnsi="Arial"/>
                <w:sz w:val="7"/>
                <w:szCs w:val="7"/>
                <w:color w:val="auto"/>
              </w:rPr>
              <w:t>55388</w:t>
            </w:r>
          </w:p>
        </w:tc>
      </w:tr>
      <w:tr>
        <w:trPr>
          <w:trHeight w:val="71"/>
        </w:trPr>
        <w:tc>
          <w:tcPr>
            <w:tcW w:w="800" w:type="dxa"/>
            <w:vAlign w:val="bottom"/>
          </w:tcPr>
          <w:p>
            <w:pPr>
              <w:spacing w:after="0" w:line="72" w:lineRule="exact"/>
              <w:rPr>
                <w:sz w:val="20"/>
                <w:szCs w:val="20"/>
                <w:color w:val="auto"/>
              </w:rPr>
            </w:pPr>
            <w:r>
              <w:rPr>
                <w:rFonts w:ascii="Arial" w:cs="Arial" w:eastAsia="Arial" w:hAnsi="Arial"/>
                <w:sz w:val="7"/>
                <w:szCs w:val="7"/>
                <w:color w:val="auto"/>
              </w:rPr>
              <w:t>E Michael</w:t>
            </w:r>
          </w:p>
        </w:tc>
        <w:tc>
          <w:tcPr>
            <w:tcW w:w="1080" w:type="dxa"/>
            <w:vAlign w:val="bottom"/>
          </w:tcPr>
          <w:p>
            <w:pPr>
              <w:ind w:left="380"/>
              <w:spacing w:after="0" w:line="72" w:lineRule="exact"/>
              <w:rPr>
                <w:sz w:val="20"/>
                <w:szCs w:val="20"/>
                <w:color w:val="auto"/>
              </w:rPr>
            </w:pPr>
            <w:r>
              <w:rPr>
                <w:rFonts w:ascii="Arial" w:cs="Arial" w:eastAsia="Arial" w:hAnsi="Arial"/>
                <w:sz w:val="7"/>
                <w:szCs w:val="7"/>
                <w:color w:val="auto"/>
              </w:rPr>
              <w:t>GA Miles</w:t>
            </w:r>
          </w:p>
        </w:tc>
        <w:tc>
          <w:tcPr>
            <w:tcW w:w="940" w:type="dxa"/>
            <w:vAlign w:val="bottom"/>
          </w:tcPr>
          <w:p>
            <w:pPr>
              <w:ind w:left="240"/>
              <w:spacing w:after="0" w:line="72" w:lineRule="exact"/>
              <w:rPr>
                <w:sz w:val="20"/>
                <w:szCs w:val="20"/>
                <w:color w:val="auto"/>
              </w:rPr>
            </w:pPr>
            <w:r>
              <w:rPr>
                <w:rFonts w:ascii="Arial" w:cs="Arial" w:eastAsia="Arial" w:hAnsi="Arial"/>
                <w:sz w:val="7"/>
                <w:szCs w:val="7"/>
                <w:color w:val="auto"/>
              </w:rPr>
              <w:t>JP Clark</w:t>
            </w:r>
          </w:p>
        </w:tc>
        <w:tc>
          <w:tcPr>
            <w:tcW w:w="880" w:type="dxa"/>
            <w:vAlign w:val="bottom"/>
          </w:tcPr>
          <w:p>
            <w:pPr>
              <w:ind w:left="220"/>
              <w:spacing w:after="0" w:line="72" w:lineRule="exact"/>
              <w:rPr>
                <w:sz w:val="20"/>
                <w:szCs w:val="20"/>
                <w:color w:val="auto"/>
              </w:rPr>
            </w:pPr>
            <w:r>
              <w:rPr>
                <w:rFonts w:ascii="Arial" w:cs="Arial" w:eastAsia="Arial" w:hAnsi="Arial"/>
                <w:sz w:val="7"/>
                <w:szCs w:val="7"/>
                <w:color w:val="auto"/>
              </w:rPr>
              <w:t>WJ Turtle</w:t>
            </w:r>
          </w:p>
        </w:tc>
        <w:tc>
          <w:tcPr>
            <w:tcW w:w="960" w:type="dxa"/>
            <w:vAlign w:val="bottom"/>
          </w:tcPr>
          <w:p>
            <w:pPr>
              <w:ind w:left="240"/>
              <w:spacing w:after="0" w:line="72" w:lineRule="exact"/>
              <w:rPr>
                <w:sz w:val="20"/>
                <w:szCs w:val="20"/>
                <w:color w:val="auto"/>
              </w:rPr>
            </w:pPr>
            <w:r>
              <w:rPr>
                <w:rFonts w:ascii="Arial" w:cs="Arial" w:eastAsia="Arial" w:hAnsi="Arial"/>
                <w:sz w:val="7"/>
                <w:szCs w:val="7"/>
                <w:color w:val="auto"/>
              </w:rPr>
              <w:t>NL Cook</w:t>
            </w:r>
          </w:p>
        </w:tc>
        <w:tc>
          <w:tcPr>
            <w:tcW w:w="960" w:type="dxa"/>
            <w:vAlign w:val="bottom"/>
          </w:tcPr>
          <w:p>
            <w:pPr>
              <w:ind w:left="200"/>
              <w:spacing w:after="0" w:line="72" w:lineRule="exact"/>
              <w:rPr>
                <w:sz w:val="20"/>
                <w:szCs w:val="20"/>
                <w:color w:val="auto"/>
              </w:rPr>
            </w:pPr>
            <w:r>
              <w:rPr>
                <w:rFonts w:ascii="Arial" w:cs="Arial" w:eastAsia="Arial" w:hAnsi="Arial"/>
                <w:sz w:val="7"/>
                <w:szCs w:val="7"/>
                <w:color w:val="auto"/>
              </w:rPr>
              <w:t>CR Osborne</w:t>
            </w:r>
          </w:p>
        </w:tc>
        <w:tc>
          <w:tcPr>
            <w:tcW w:w="880" w:type="dxa"/>
            <w:vAlign w:val="bottom"/>
          </w:tcPr>
          <w:p>
            <w:pPr>
              <w:ind w:left="140"/>
              <w:spacing w:after="0" w:line="72" w:lineRule="exact"/>
              <w:rPr>
                <w:sz w:val="20"/>
                <w:szCs w:val="20"/>
                <w:color w:val="auto"/>
              </w:rPr>
            </w:pPr>
            <w:r>
              <w:rPr>
                <w:rFonts w:ascii="Arial" w:cs="Arial" w:eastAsia="Arial" w:hAnsi="Arial"/>
                <w:sz w:val="7"/>
                <w:szCs w:val="7"/>
                <w:color w:val="auto"/>
              </w:rPr>
              <w:t>AJJ Chadd</w:t>
            </w: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r>
      <w:tr>
        <w:trPr>
          <w:trHeight w:val="71"/>
        </w:trPr>
        <w:tc>
          <w:tcPr>
            <w:tcW w:w="800" w:type="dxa"/>
            <w:vAlign w:val="bottom"/>
          </w:tcPr>
          <w:p>
            <w:pPr>
              <w:spacing w:after="0" w:line="72" w:lineRule="exact"/>
              <w:rPr>
                <w:sz w:val="20"/>
                <w:szCs w:val="20"/>
                <w:color w:val="auto"/>
              </w:rPr>
            </w:pPr>
            <w:r>
              <w:rPr>
                <w:rFonts w:ascii="Arial" w:cs="Arial" w:eastAsia="Arial" w:hAnsi="Arial"/>
                <w:sz w:val="7"/>
                <w:szCs w:val="7"/>
                <w:color w:val="auto"/>
              </w:rPr>
              <w:t>RR Ogle</w:t>
            </w:r>
          </w:p>
        </w:tc>
        <w:tc>
          <w:tcPr>
            <w:tcW w:w="1080" w:type="dxa"/>
            <w:vAlign w:val="bottom"/>
          </w:tcPr>
          <w:p>
            <w:pPr>
              <w:ind w:left="380"/>
              <w:spacing w:after="0" w:line="72" w:lineRule="exact"/>
              <w:rPr>
                <w:sz w:val="20"/>
                <w:szCs w:val="20"/>
                <w:color w:val="auto"/>
              </w:rPr>
            </w:pPr>
            <w:r>
              <w:rPr>
                <w:rFonts w:ascii="Arial" w:cs="Arial" w:eastAsia="Arial" w:hAnsi="Arial"/>
                <w:sz w:val="7"/>
                <w:szCs w:val="7"/>
                <w:color w:val="auto"/>
              </w:rPr>
              <w:t>GE O’Keefe</w:t>
            </w:r>
          </w:p>
        </w:tc>
        <w:tc>
          <w:tcPr>
            <w:tcW w:w="940" w:type="dxa"/>
            <w:vAlign w:val="bottom"/>
          </w:tcPr>
          <w:p>
            <w:pPr>
              <w:ind w:left="240"/>
              <w:spacing w:after="0" w:line="72" w:lineRule="exact"/>
              <w:rPr>
                <w:sz w:val="20"/>
                <w:szCs w:val="20"/>
                <w:color w:val="auto"/>
              </w:rPr>
            </w:pPr>
            <w:r>
              <w:rPr>
                <w:rFonts w:ascii="Arial" w:cs="Arial" w:eastAsia="Arial" w:hAnsi="Arial"/>
                <w:sz w:val="7"/>
                <w:szCs w:val="7"/>
                <w:color w:val="auto"/>
              </w:rPr>
              <w:t>WHJ Ellison</w:t>
            </w:r>
          </w:p>
        </w:tc>
        <w:tc>
          <w:tcPr>
            <w:tcW w:w="880" w:type="dxa"/>
            <w:vAlign w:val="bottom"/>
          </w:tcPr>
          <w:p>
            <w:pPr>
              <w:ind w:left="220"/>
              <w:spacing w:after="0" w:line="72" w:lineRule="exact"/>
              <w:rPr>
                <w:sz w:val="20"/>
                <w:szCs w:val="20"/>
                <w:color w:val="auto"/>
              </w:rPr>
            </w:pPr>
            <w:r>
              <w:rPr>
                <w:rFonts w:ascii="Arial" w:cs="Arial" w:eastAsia="Arial" w:hAnsi="Arial"/>
                <w:sz w:val="7"/>
                <w:szCs w:val="7"/>
                <w:color w:val="auto"/>
              </w:rPr>
              <w:t>DJO Blaikie</w:t>
            </w:r>
          </w:p>
        </w:tc>
        <w:tc>
          <w:tcPr>
            <w:tcW w:w="960" w:type="dxa"/>
            <w:vAlign w:val="bottom"/>
          </w:tcPr>
          <w:p>
            <w:pPr>
              <w:ind w:left="240"/>
              <w:spacing w:after="0" w:line="72" w:lineRule="exact"/>
              <w:rPr>
                <w:sz w:val="20"/>
                <w:szCs w:val="20"/>
                <w:color w:val="auto"/>
              </w:rPr>
            </w:pPr>
            <w:r>
              <w:rPr>
                <w:rFonts w:ascii="Arial" w:cs="Arial" w:eastAsia="Arial" w:hAnsi="Arial"/>
                <w:sz w:val="7"/>
                <w:szCs w:val="7"/>
                <w:color w:val="auto"/>
              </w:rPr>
              <w:t>AJ Dustan</w:t>
            </w:r>
          </w:p>
        </w:tc>
        <w:tc>
          <w:tcPr>
            <w:tcW w:w="960" w:type="dxa"/>
            <w:vAlign w:val="bottom"/>
          </w:tcPr>
          <w:p>
            <w:pPr>
              <w:ind w:left="200"/>
              <w:spacing w:after="0" w:line="72" w:lineRule="exact"/>
              <w:rPr>
                <w:sz w:val="20"/>
                <w:szCs w:val="20"/>
                <w:color w:val="auto"/>
              </w:rPr>
            </w:pPr>
            <w:r>
              <w:rPr>
                <w:rFonts w:ascii="Arial" w:cs="Arial" w:eastAsia="Arial" w:hAnsi="Arial"/>
                <w:sz w:val="7"/>
                <w:szCs w:val="7"/>
                <w:color w:val="auto"/>
              </w:rPr>
              <w:t>MJ Sandler</w:t>
            </w:r>
          </w:p>
        </w:tc>
        <w:tc>
          <w:tcPr>
            <w:tcW w:w="880" w:type="dxa"/>
            <w:vAlign w:val="bottom"/>
          </w:tcPr>
          <w:p>
            <w:pPr>
              <w:ind w:left="140"/>
              <w:spacing w:after="0" w:line="72" w:lineRule="exact"/>
              <w:rPr>
                <w:sz w:val="20"/>
                <w:szCs w:val="20"/>
                <w:color w:val="auto"/>
              </w:rPr>
            </w:pPr>
            <w:r>
              <w:rPr>
                <w:rFonts w:ascii="Arial" w:cs="Arial" w:eastAsia="Arial" w:hAnsi="Arial"/>
                <w:sz w:val="7"/>
                <w:szCs w:val="7"/>
                <w:color w:val="auto"/>
              </w:rPr>
              <w:t>RA Francis-Pike</w:t>
            </w: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r>
      <w:tr>
        <w:trPr>
          <w:trHeight w:val="71"/>
        </w:trPr>
        <w:tc>
          <w:tcPr>
            <w:tcW w:w="800" w:type="dxa"/>
            <w:vAlign w:val="bottom"/>
          </w:tcPr>
          <w:p>
            <w:pPr>
              <w:spacing w:after="0" w:line="72" w:lineRule="exact"/>
              <w:rPr>
                <w:sz w:val="20"/>
                <w:szCs w:val="20"/>
                <w:color w:val="auto"/>
              </w:rPr>
            </w:pPr>
            <w:r>
              <w:rPr>
                <w:rFonts w:ascii="Arial" w:cs="Arial" w:eastAsia="Arial" w:hAnsi="Arial"/>
                <w:sz w:val="7"/>
                <w:szCs w:val="7"/>
                <w:color w:val="auto"/>
              </w:rPr>
              <w:t>HL Davies</w:t>
            </w:r>
          </w:p>
        </w:tc>
        <w:tc>
          <w:tcPr>
            <w:tcW w:w="1080" w:type="dxa"/>
            <w:vAlign w:val="bottom"/>
          </w:tcPr>
          <w:p>
            <w:pPr>
              <w:ind w:left="380"/>
              <w:spacing w:after="0" w:line="72" w:lineRule="exact"/>
              <w:rPr>
                <w:sz w:val="20"/>
                <w:szCs w:val="20"/>
                <w:color w:val="auto"/>
              </w:rPr>
            </w:pPr>
            <w:r>
              <w:rPr>
                <w:rFonts w:ascii="Arial" w:cs="Arial" w:eastAsia="Arial" w:hAnsi="Arial"/>
                <w:sz w:val="7"/>
                <w:szCs w:val="7"/>
                <w:color w:val="auto"/>
              </w:rPr>
              <w:t>IAM Taylor</w:t>
            </w:r>
          </w:p>
        </w:tc>
        <w:tc>
          <w:tcPr>
            <w:tcW w:w="940" w:type="dxa"/>
            <w:vAlign w:val="bottom"/>
          </w:tcPr>
          <w:p>
            <w:pPr>
              <w:ind w:left="240"/>
              <w:spacing w:after="0" w:line="72" w:lineRule="exact"/>
              <w:rPr>
                <w:sz w:val="20"/>
                <w:szCs w:val="20"/>
                <w:color w:val="auto"/>
              </w:rPr>
            </w:pPr>
            <w:r>
              <w:rPr>
                <w:rFonts w:ascii="Arial" w:cs="Arial" w:eastAsia="Arial" w:hAnsi="Arial"/>
                <w:sz w:val="7"/>
                <w:szCs w:val="7"/>
                <w:color w:val="auto"/>
              </w:rPr>
              <w:t>AM Lyle-Smythe</w:t>
            </w:r>
          </w:p>
        </w:tc>
        <w:tc>
          <w:tcPr>
            <w:tcW w:w="880" w:type="dxa"/>
            <w:vAlign w:val="bottom"/>
          </w:tcPr>
          <w:p>
            <w:pPr>
              <w:ind w:left="220"/>
              <w:spacing w:after="0" w:line="72" w:lineRule="exact"/>
              <w:rPr>
                <w:sz w:val="20"/>
                <w:szCs w:val="20"/>
                <w:color w:val="auto"/>
              </w:rPr>
            </w:pPr>
            <w:r>
              <w:rPr>
                <w:rFonts w:ascii="Arial" w:cs="Arial" w:eastAsia="Arial" w:hAnsi="Arial"/>
                <w:sz w:val="7"/>
                <w:szCs w:val="7"/>
                <w:color w:val="auto"/>
              </w:rPr>
              <w:t>CVK Boney</w:t>
            </w:r>
          </w:p>
        </w:tc>
        <w:tc>
          <w:tcPr>
            <w:tcW w:w="960" w:type="dxa"/>
            <w:vAlign w:val="bottom"/>
          </w:tcPr>
          <w:p>
            <w:pPr>
              <w:ind w:left="240"/>
              <w:spacing w:after="0" w:line="72" w:lineRule="exact"/>
              <w:rPr>
                <w:sz w:val="20"/>
                <w:szCs w:val="20"/>
                <w:color w:val="auto"/>
              </w:rPr>
            </w:pPr>
            <w:r>
              <w:rPr>
                <w:rFonts w:ascii="Arial" w:cs="Arial" w:eastAsia="Arial" w:hAnsi="Arial"/>
                <w:sz w:val="7"/>
                <w:szCs w:val="7"/>
                <w:color w:val="auto"/>
              </w:rPr>
              <w:t>HEB Hecht</w:t>
            </w:r>
          </w:p>
        </w:tc>
        <w:tc>
          <w:tcPr>
            <w:tcW w:w="960" w:type="dxa"/>
            <w:vAlign w:val="bottom"/>
          </w:tcPr>
          <w:p>
            <w:pPr>
              <w:ind w:left="200"/>
              <w:spacing w:after="0" w:line="72" w:lineRule="exact"/>
              <w:rPr>
                <w:sz w:val="20"/>
                <w:szCs w:val="20"/>
                <w:color w:val="auto"/>
              </w:rPr>
            </w:pPr>
            <w:r>
              <w:rPr>
                <w:rFonts w:ascii="Arial" w:cs="Arial" w:eastAsia="Arial" w:hAnsi="Arial"/>
                <w:sz w:val="7"/>
                <w:szCs w:val="7"/>
                <w:color w:val="auto"/>
              </w:rPr>
              <w:t>CM Sharpe</w:t>
            </w:r>
          </w:p>
        </w:tc>
        <w:tc>
          <w:tcPr>
            <w:tcW w:w="880" w:type="dxa"/>
            <w:vAlign w:val="bottom"/>
          </w:tcPr>
          <w:p>
            <w:pPr>
              <w:ind w:left="140"/>
              <w:spacing w:after="0" w:line="72" w:lineRule="exact"/>
              <w:rPr>
                <w:sz w:val="20"/>
                <w:szCs w:val="20"/>
                <w:color w:val="auto"/>
              </w:rPr>
            </w:pPr>
            <w:r>
              <w:rPr>
                <w:rFonts w:ascii="Arial" w:cs="Arial" w:eastAsia="Arial" w:hAnsi="Arial"/>
                <w:sz w:val="7"/>
                <w:szCs w:val="7"/>
                <w:color w:val="auto"/>
              </w:rPr>
              <w:t>AF Liaqat</w:t>
            </w: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r>
      <w:tr>
        <w:trPr>
          <w:trHeight w:val="71"/>
        </w:trPr>
        <w:tc>
          <w:tcPr>
            <w:tcW w:w="800" w:type="dxa"/>
            <w:vAlign w:val="bottom"/>
          </w:tcPr>
          <w:p>
            <w:pPr>
              <w:spacing w:after="0" w:line="72" w:lineRule="exact"/>
              <w:rPr>
                <w:sz w:val="20"/>
                <w:szCs w:val="20"/>
                <w:color w:val="auto"/>
              </w:rPr>
            </w:pPr>
            <w:r>
              <w:rPr>
                <w:rFonts w:ascii="Arial" w:cs="Arial" w:eastAsia="Arial" w:hAnsi="Arial"/>
                <w:sz w:val="7"/>
                <w:szCs w:val="7"/>
                <w:color w:val="auto"/>
              </w:rPr>
              <w:t>JC Putnis</w:t>
            </w:r>
          </w:p>
        </w:tc>
        <w:tc>
          <w:tcPr>
            <w:tcW w:w="1080" w:type="dxa"/>
            <w:vAlign w:val="bottom"/>
          </w:tcPr>
          <w:p>
            <w:pPr>
              <w:ind w:left="380"/>
              <w:spacing w:after="0" w:line="72" w:lineRule="exact"/>
              <w:rPr>
                <w:sz w:val="20"/>
                <w:szCs w:val="20"/>
                <w:color w:val="auto"/>
              </w:rPr>
            </w:pPr>
            <w:r>
              <w:rPr>
                <w:rFonts w:ascii="Arial" w:cs="Arial" w:eastAsia="Arial" w:hAnsi="Arial"/>
                <w:sz w:val="7"/>
                <w:szCs w:val="7"/>
                <w:color w:val="auto"/>
              </w:rPr>
              <w:t>DA Ives</w:t>
            </w:r>
          </w:p>
        </w:tc>
        <w:tc>
          <w:tcPr>
            <w:tcW w:w="940" w:type="dxa"/>
            <w:vAlign w:val="bottom"/>
          </w:tcPr>
          <w:p>
            <w:pPr>
              <w:ind w:left="240"/>
              <w:spacing w:after="0" w:line="72" w:lineRule="exact"/>
              <w:rPr>
                <w:sz w:val="20"/>
                <w:szCs w:val="20"/>
                <w:color w:val="auto"/>
              </w:rPr>
            </w:pPr>
            <w:r>
              <w:rPr>
                <w:rFonts w:ascii="Arial" w:cs="Arial" w:eastAsia="Arial" w:hAnsi="Arial"/>
                <w:sz w:val="7"/>
                <w:szCs w:val="7"/>
                <w:color w:val="auto"/>
              </w:rPr>
              <w:t>A Nassiri</w:t>
            </w:r>
          </w:p>
        </w:tc>
        <w:tc>
          <w:tcPr>
            <w:tcW w:w="880" w:type="dxa"/>
            <w:vAlign w:val="bottom"/>
          </w:tcPr>
          <w:p>
            <w:pPr>
              <w:ind w:left="220"/>
              <w:spacing w:after="0" w:line="72" w:lineRule="exact"/>
              <w:rPr>
                <w:sz w:val="20"/>
                <w:szCs w:val="20"/>
                <w:color w:val="auto"/>
              </w:rPr>
            </w:pPr>
            <w:r>
              <w:rPr>
                <w:rFonts w:ascii="Arial" w:cs="Arial" w:eastAsia="Arial" w:hAnsi="Arial"/>
                <w:sz w:val="7"/>
                <w:szCs w:val="7"/>
                <w:color w:val="auto"/>
              </w:rPr>
              <w:t>F de Falco</w:t>
            </w:r>
          </w:p>
        </w:tc>
        <w:tc>
          <w:tcPr>
            <w:tcW w:w="960" w:type="dxa"/>
            <w:vAlign w:val="bottom"/>
          </w:tcPr>
          <w:p>
            <w:pPr>
              <w:ind w:left="240"/>
              <w:spacing w:after="0" w:line="72" w:lineRule="exact"/>
              <w:rPr>
                <w:sz w:val="20"/>
                <w:szCs w:val="20"/>
                <w:color w:val="auto"/>
              </w:rPr>
            </w:pPr>
            <w:r>
              <w:rPr>
                <w:rFonts w:ascii="Arial" w:cs="Arial" w:eastAsia="Arial" w:hAnsi="Arial"/>
                <w:sz w:val="7"/>
                <w:szCs w:val="7"/>
                <w:color w:val="auto"/>
              </w:rPr>
              <w:t>CL Jackson</w:t>
            </w:r>
          </w:p>
        </w:tc>
        <w:tc>
          <w:tcPr>
            <w:tcW w:w="960" w:type="dxa"/>
            <w:vAlign w:val="bottom"/>
          </w:tcPr>
          <w:p>
            <w:pPr>
              <w:ind w:left="200"/>
              <w:spacing w:after="0" w:line="72" w:lineRule="exact"/>
              <w:rPr>
                <w:sz w:val="20"/>
                <w:szCs w:val="20"/>
                <w:color w:val="auto"/>
              </w:rPr>
            </w:pPr>
            <w:r>
              <w:rPr>
                <w:rFonts w:ascii="Arial" w:cs="Arial" w:eastAsia="Arial" w:hAnsi="Arial"/>
                <w:sz w:val="7"/>
                <w:szCs w:val="7"/>
                <w:color w:val="auto"/>
              </w:rPr>
              <w:t>JM Slade</w:t>
            </w:r>
          </w:p>
        </w:tc>
        <w:tc>
          <w:tcPr>
            <w:tcW w:w="880" w:type="dxa"/>
            <w:vAlign w:val="bottom"/>
          </w:tcPr>
          <w:p>
            <w:pPr>
              <w:ind w:left="140"/>
              <w:spacing w:after="0" w:line="72" w:lineRule="exact"/>
              <w:rPr>
                <w:sz w:val="20"/>
                <w:szCs w:val="20"/>
                <w:color w:val="auto"/>
              </w:rPr>
            </w:pPr>
            <w:r>
              <w:rPr>
                <w:rFonts w:ascii="Arial" w:cs="Arial" w:eastAsia="Arial" w:hAnsi="Arial"/>
                <w:sz w:val="7"/>
                <w:szCs w:val="7"/>
                <w:color w:val="auto"/>
              </w:rPr>
              <w:t>TR Peacock</w:t>
            </w: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r>
      <w:tr>
        <w:trPr>
          <w:trHeight w:val="71"/>
        </w:trPr>
        <w:tc>
          <w:tcPr>
            <w:tcW w:w="800" w:type="dxa"/>
            <w:vAlign w:val="bottom"/>
          </w:tcPr>
          <w:p>
            <w:pPr>
              <w:spacing w:after="0" w:line="72" w:lineRule="exact"/>
              <w:rPr>
                <w:sz w:val="20"/>
                <w:szCs w:val="20"/>
                <w:color w:val="auto"/>
              </w:rPr>
            </w:pPr>
            <w:r>
              <w:rPr>
                <w:rFonts w:ascii="Arial" w:cs="Arial" w:eastAsia="Arial" w:hAnsi="Arial"/>
                <w:sz w:val="7"/>
                <w:szCs w:val="7"/>
                <w:color w:val="auto"/>
              </w:rPr>
              <w:t>JC Cotton</w:t>
            </w:r>
          </w:p>
        </w:tc>
        <w:tc>
          <w:tcPr>
            <w:tcW w:w="1080" w:type="dxa"/>
            <w:vAlign w:val="bottom"/>
          </w:tcPr>
          <w:p>
            <w:pPr>
              <w:ind w:left="380"/>
              <w:spacing w:after="0" w:line="72" w:lineRule="exact"/>
              <w:rPr>
                <w:sz w:val="20"/>
                <w:szCs w:val="20"/>
                <w:color w:val="auto"/>
              </w:rPr>
            </w:pPr>
            <w:r>
              <w:rPr>
                <w:rFonts w:ascii="Arial" w:cs="Arial" w:eastAsia="Arial" w:hAnsi="Arial"/>
                <w:sz w:val="7"/>
                <w:szCs w:val="7"/>
                <w:color w:val="auto"/>
              </w:rPr>
              <w:t>MC Lane</w:t>
            </w:r>
          </w:p>
        </w:tc>
        <w:tc>
          <w:tcPr>
            <w:tcW w:w="940" w:type="dxa"/>
            <w:vAlign w:val="bottom"/>
          </w:tcPr>
          <w:p>
            <w:pPr>
              <w:ind w:left="240"/>
              <w:spacing w:after="0" w:line="72" w:lineRule="exact"/>
              <w:rPr>
                <w:sz w:val="20"/>
                <w:szCs w:val="20"/>
                <w:color w:val="auto"/>
              </w:rPr>
            </w:pPr>
            <w:r>
              <w:rPr>
                <w:rFonts w:ascii="Arial" w:cs="Arial" w:eastAsia="Arial" w:hAnsi="Arial"/>
                <w:sz w:val="7"/>
                <w:szCs w:val="7"/>
                <w:color w:val="auto"/>
              </w:rPr>
              <w:t>DE Robertson</w:t>
            </w:r>
          </w:p>
        </w:tc>
        <w:tc>
          <w:tcPr>
            <w:tcW w:w="880" w:type="dxa"/>
            <w:vAlign w:val="bottom"/>
          </w:tcPr>
          <w:p>
            <w:pPr>
              <w:ind w:left="220"/>
              <w:spacing w:after="0" w:line="72" w:lineRule="exact"/>
              <w:rPr>
                <w:sz w:val="20"/>
                <w:szCs w:val="20"/>
                <w:color w:val="auto"/>
              </w:rPr>
            </w:pPr>
            <w:r>
              <w:rPr>
                <w:rFonts w:ascii="Arial" w:cs="Arial" w:eastAsia="Arial" w:hAnsi="Arial"/>
                <w:sz w:val="7"/>
                <w:szCs w:val="7"/>
                <w:color w:val="auto"/>
              </w:rPr>
              <w:t>SNL Hughes</w:t>
            </w:r>
          </w:p>
        </w:tc>
        <w:tc>
          <w:tcPr>
            <w:tcW w:w="960" w:type="dxa"/>
            <w:vAlign w:val="bottom"/>
          </w:tcPr>
          <w:p>
            <w:pPr>
              <w:ind w:left="240"/>
              <w:spacing w:after="0" w:line="72" w:lineRule="exact"/>
              <w:rPr>
                <w:sz w:val="20"/>
                <w:szCs w:val="20"/>
                <w:color w:val="auto"/>
              </w:rPr>
            </w:pPr>
            <w:r>
              <w:rPr>
                <w:rFonts w:ascii="Arial" w:cs="Arial" w:eastAsia="Arial" w:hAnsi="Arial"/>
                <w:sz w:val="7"/>
                <w:szCs w:val="7"/>
                <w:color w:val="auto"/>
              </w:rPr>
              <w:t>OR Moir</w:t>
            </w:r>
          </w:p>
        </w:tc>
        <w:tc>
          <w:tcPr>
            <w:tcW w:w="960" w:type="dxa"/>
            <w:vAlign w:val="bottom"/>
          </w:tcPr>
          <w:p>
            <w:pPr>
              <w:ind w:left="200"/>
              <w:spacing w:after="0" w:line="72" w:lineRule="exact"/>
              <w:rPr>
                <w:sz w:val="20"/>
                <w:szCs w:val="20"/>
                <w:color w:val="auto"/>
              </w:rPr>
            </w:pPr>
            <w:r>
              <w:rPr>
                <w:rFonts w:ascii="Arial" w:cs="Arial" w:eastAsia="Arial" w:hAnsi="Arial"/>
                <w:sz w:val="7"/>
                <w:szCs w:val="7"/>
                <w:color w:val="auto"/>
              </w:rPr>
              <w:t>WCW Brennand</w:t>
            </w:r>
          </w:p>
        </w:tc>
        <w:tc>
          <w:tcPr>
            <w:tcW w:w="880" w:type="dxa"/>
            <w:vAlign w:val="bottom"/>
          </w:tcPr>
          <w:p>
            <w:pPr>
              <w:ind w:left="140"/>
              <w:spacing w:after="0" w:line="72" w:lineRule="exact"/>
              <w:rPr>
                <w:sz w:val="20"/>
                <w:szCs w:val="20"/>
                <w:color w:val="auto"/>
              </w:rPr>
            </w:pPr>
            <w:r>
              <w:rPr>
                <w:rFonts w:ascii="Arial" w:cs="Arial" w:eastAsia="Arial" w:hAnsi="Arial"/>
                <w:sz w:val="7"/>
                <w:szCs w:val="7"/>
                <w:color w:val="auto"/>
              </w:rPr>
              <w:t>TXT Zhuo</w:t>
            </w: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r>
      <w:tr>
        <w:trPr>
          <w:trHeight w:val="71"/>
        </w:trPr>
        <w:tc>
          <w:tcPr>
            <w:tcW w:w="800" w:type="dxa"/>
            <w:vAlign w:val="bottom"/>
          </w:tcPr>
          <w:p>
            <w:pPr>
              <w:spacing w:after="0" w:line="72" w:lineRule="exact"/>
              <w:rPr>
                <w:sz w:val="20"/>
                <w:szCs w:val="20"/>
                <w:color w:val="auto"/>
              </w:rPr>
            </w:pPr>
            <w:r>
              <w:rPr>
                <w:rFonts w:ascii="Arial" w:cs="Arial" w:eastAsia="Arial" w:hAnsi="Arial"/>
                <w:sz w:val="7"/>
                <w:szCs w:val="7"/>
                <w:color w:val="auto"/>
              </w:rPr>
              <w:t>CNR Jeffs</w:t>
            </w:r>
          </w:p>
        </w:tc>
        <w:tc>
          <w:tcPr>
            <w:tcW w:w="1080" w:type="dxa"/>
            <w:vAlign w:val="bottom"/>
          </w:tcPr>
          <w:p>
            <w:pPr>
              <w:ind w:left="380"/>
              <w:spacing w:after="0" w:line="72" w:lineRule="exact"/>
              <w:rPr>
                <w:sz w:val="20"/>
                <w:szCs w:val="20"/>
                <w:color w:val="auto"/>
              </w:rPr>
            </w:pPr>
            <w:r>
              <w:rPr>
                <w:rFonts w:ascii="Arial" w:cs="Arial" w:eastAsia="Arial" w:hAnsi="Arial"/>
                <w:sz w:val="7"/>
                <w:szCs w:val="7"/>
                <w:color w:val="auto"/>
              </w:rPr>
              <w:t>LMC Chung</w:t>
            </w:r>
          </w:p>
        </w:tc>
        <w:tc>
          <w:tcPr>
            <w:tcW w:w="940" w:type="dxa"/>
            <w:vAlign w:val="bottom"/>
          </w:tcPr>
          <w:p>
            <w:pPr>
              <w:ind w:left="240"/>
              <w:spacing w:after="0" w:line="72" w:lineRule="exact"/>
              <w:rPr>
                <w:sz w:val="20"/>
                <w:szCs w:val="20"/>
                <w:color w:val="auto"/>
              </w:rPr>
            </w:pPr>
            <w:r>
              <w:rPr>
                <w:rFonts w:ascii="Arial" w:cs="Arial" w:eastAsia="Arial" w:hAnsi="Arial"/>
                <w:sz w:val="7"/>
                <w:szCs w:val="7"/>
                <w:color w:val="auto"/>
              </w:rPr>
              <w:t>RA Innes</w:t>
            </w:r>
          </w:p>
        </w:tc>
        <w:tc>
          <w:tcPr>
            <w:tcW w:w="880" w:type="dxa"/>
            <w:vAlign w:val="bottom"/>
          </w:tcPr>
          <w:p>
            <w:pPr>
              <w:ind w:left="220"/>
              <w:spacing w:after="0" w:line="72" w:lineRule="exact"/>
              <w:rPr>
                <w:sz w:val="20"/>
                <w:szCs w:val="20"/>
                <w:color w:val="auto"/>
              </w:rPr>
            </w:pPr>
            <w:r>
              <w:rPr>
                <w:rFonts w:ascii="Arial" w:cs="Arial" w:eastAsia="Arial" w:hAnsi="Arial"/>
                <w:sz w:val="7"/>
                <w:szCs w:val="7"/>
                <w:color w:val="auto"/>
              </w:rPr>
              <w:t>PR Linnard</w:t>
            </w:r>
          </w:p>
        </w:tc>
        <w:tc>
          <w:tcPr>
            <w:tcW w:w="960" w:type="dxa"/>
            <w:vAlign w:val="bottom"/>
          </w:tcPr>
          <w:p>
            <w:pPr>
              <w:ind w:left="240"/>
              <w:spacing w:after="0" w:line="72" w:lineRule="exact"/>
              <w:rPr>
                <w:sz w:val="20"/>
                <w:szCs w:val="20"/>
                <w:color w:val="auto"/>
              </w:rPr>
            </w:pPr>
            <w:r>
              <w:rPr>
                <w:rFonts w:ascii="Arial" w:cs="Arial" w:eastAsia="Arial" w:hAnsi="Arial"/>
                <w:sz w:val="7"/>
                <w:szCs w:val="7"/>
                <w:color w:val="auto"/>
              </w:rPr>
              <w:t>S Shah</w:t>
            </w:r>
          </w:p>
        </w:tc>
        <w:tc>
          <w:tcPr>
            <w:tcW w:w="960" w:type="dxa"/>
            <w:vAlign w:val="bottom"/>
          </w:tcPr>
          <w:p>
            <w:pPr>
              <w:ind w:left="200"/>
              <w:spacing w:after="0" w:line="72" w:lineRule="exact"/>
              <w:rPr>
                <w:sz w:val="20"/>
                <w:szCs w:val="20"/>
                <w:color w:val="auto"/>
              </w:rPr>
            </w:pPr>
            <w:r>
              <w:rPr>
                <w:rFonts w:ascii="Arial" w:cs="Arial" w:eastAsia="Arial" w:hAnsi="Arial"/>
                <w:sz w:val="7"/>
                <w:szCs w:val="7"/>
                <w:color w:val="auto"/>
              </w:rPr>
              <w:t>DJG Hay</w:t>
            </w:r>
          </w:p>
        </w:tc>
        <w:tc>
          <w:tcPr>
            <w:tcW w:w="880" w:type="dxa"/>
            <w:vAlign w:val="bottom"/>
          </w:tcPr>
          <w:p>
            <w:pPr>
              <w:ind w:left="140"/>
              <w:spacing w:after="0" w:line="72" w:lineRule="exact"/>
              <w:rPr>
                <w:sz w:val="20"/>
                <w:szCs w:val="20"/>
                <w:color w:val="auto"/>
              </w:rPr>
            </w:pPr>
            <w:r>
              <w:rPr>
                <w:rFonts w:ascii="Arial" w:cs="Arial" w:eastAsia="Arial" w:hAnsi="Arial"/>
                <w:sz w:val="7"/>
                <w:szCs w:val="7"/>
                <w:color w:val="auto"/>
              </w:rPr>
              <w:t>AT Bulfin</w:t>
            </w: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r>
      <w:tr>
        <w:trPr>
          <w:trHeight w:val="71"/>
        </w:trPr>
        <w:tc>
          <w:tcPr>
            <w:tcW w:w="800" w:type="dxa"/>
            <w:vAlign w:val="bottom"/>
          </w:tcPr>
          <w:p>
            <w:pPr>
              <w:spacing w:after="0" w:line="72" w:lineRule="exact"/>
              <w:rPr>
                <w:sz w:val="20"/>
                <w:szCs w:val="20"/>
                <w:color w:val="auto"/>
              </w:rPr>
            </w:pPr>
            <w:r>
              <w:rPr>
                <w:rFonts w:ascii="Arial" w:cs="Arial" w:eastAsia="Arial" w:hAnsi="Arial"/>
                <w:sz w:val="7"/>
                <w:szCs w:val="7"/>
                <w:color w:val="auto"/>
              </w:rPr>
              <w:t>SR Nicholls</w:t>
            </w:r>
          </w:p>
        </w:tc>
        <w:tc>
          <w:tcPr>
            <w:tcW w:w="1080" w:type="dxa"/>
            <w:vAlign w:val="bottom"/>
          </w:tcPr>
          <w:p>
            <w:pPr>
              <w:ind w:left="380"/>
              <w:spacing w:after="0" w:line="72" w:lineRule="exact"/>
              <w:rPr>
                <w:sz w:val="20"/>
                <w:szCs w:val="20"/>
                <w:color w:val="auto"/>
              </w:rPr>
            </w:pPr>
            <w:r>
              <w:rPr>
                <w:rFonts w:ascii="Arial" w:cs="Arial" w:eastAsia="Arial" w:hAnsi="Arial"/>
                <w:sz w:val="7"/>
                <w:szCs w:val="7"/>
                <w:color w:val="auto"/>
              </w:rPr>
              <w:t>RJ Smith</w:t>
            </w:r>
          </w:p>
        </w:tc>
        <w:tc>
          <w:tcPr>
            <w:tcW w:w="940" w:type="dxa"/>
            <w:vAlign w:val="bottom"/>
          </w:tcPr>
          <w:p>
            <w:pPr>
              <w:ind w:left="240"/>
              <w:spacing w:after="0" w:line="72" w:lineRule="exact"/>
              <w:rPr>
                <w:sz w:val="20"/>
                <w:szCs w:val="20"/>
                <w:color w:val="auto"/>
              </w:rPr>
            </w:pPr>
            <w:r>
              <w:rPr>
                <w:rFonts w:ascii="Arial" w:cs="Arial" w:eastAsia="Arial" w:hAnsi="Arial"/>
                <w:sz w:val="7"/>
                <w:szCs w:val="7"/>
                <w:color w:val="auto"/>
              </w:rPr>
              <w:t>CP McGaffin</w:t>
            </w:r>
          </w:p>
        </w:tc>
        <w:tc>
          <w:tcPr>
            <w:tcW w:w="880" w:type="dxa"/>
            <w:vAlign w:val="bottom"/>
          </w:tcPr>
          <w:p>
            <w:pPr>
              <w:ind w:left="220"/>
              <w:spacing w:after="0" w:line="72" w:lineRule="exact"/>
              <w:rPr>
                <w:sz w:val="20"/>
                <w:szCs w:val="20"/>
                <w:color w:val="auto"/>
              </w:rPr>
            </w:pPr>
            <w:r>
              <w:rPr>
                <w:rFonts w:ascii="Arial" w:cs="Arial" w:eastAsia="Arial" w:hAnsi="Arial"/>
                <w:sz w:val="7"/>
                <w:szCs w:val="7"/>
                <w:color w:val="auto"/>
              </w:rPr>
              <w:t>KA O’Connell</w:t>
            </w:r>
          </w:p>
        </w:tc>
        <w:tc>
          <w:tcPr>
            <w:tcW w:w="960" w:type="dxa"/>
            <w:vAlign w:val="bottom"/>
          </w:tcPr>
          <w:p>
            <w:pPr>
              <w:ind w:left="240"/>
              <w:spacing w:after="0" w:line="72" w:lineRule="exact"/>
              <w:rPr>
                <w:sz w:val="20"/>
                <w:szCs w:val="20"/>
                <w:color w:val="auto"/>
              </w:rPr>
            </w:pPr>
            <w:r>
              <w:rPr>
                <w:rFonts w:ascii="Arial" w:cs="Arial" w:eastAsia="Arial" w:hAnsi="Arial"/>
                <w:sz w:val="7"/>
                <w:szCs w:val="7"/>
                <w:color w:val="auto"/>
              </w:rPr>
              <w:t>G Kamalanathan</w:t>
            </w:r>
          </w:p>
        </w:tc>
        <w:tc>
          <w:tcPr>
            <w:tcW w:w="960" w:type="dxa"/>
            <w:vAlign w:val="bottom"/>
          </w:tcPr>
          <w:p>
            <w:pPr>
              <w:ind w:left="200"/>
              <w:spacing w:after="0" w:line="72" w:lineRule="exact"/>
              <w:rPr>
                <w:sz w:val="20"/>
                <w:szCs w:val="20"/>
                <w:color w:val="auto"/>
              </w:rPr>
            </w:pPr>
            <w:r>
              <w:rPr>
                <w:rFonts w:ascii="Arial" w:cs="Arial" w:eastAsia="Arial" w:hAnsi="Arial"/>
                <w:sz w:val="7"/>
                <w:szCs w:val="7"/>
                <w:color w:val="auto"/>
              </w:rPr>
              <w:t>TG Newey</w:t>
            </w:r>
          </w:p>
        </w:tc>
        <w:tc>
          <w:tcPr>
            <w:tcW w:w="880" w:type="dxa"/>
            <w:vAlign w:val="bottom"/>
          </w:tcPr>
          <w:p>
            <w:pPr>
              <w:ind w:left="140"/>
              <w:spacing w:after="0" w:line="72" w:lineRule="exact"/>
              <w:rPr>
                <w:sz w:val="20"/>
                <w:szCs w:val="20"/>
                <w:color w:val="auto"/>
              </w:rPr>
            </w:pPr>
            <w:r>
              <w:rPr>
                <w:rFonts w:ascii="Arial" w:cs="Arial" w:eastAsia="Arial" w:hAnsi="Arial"/>
                <w:sz w:val="7"/>
                <w:szCs w:val="7"/>
                <w:color w:val="auto"/>
              </w:rPr>
              <w:t>EA Couzens</w:t>
            </w: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r>
      <w:tr>
        <w:trPr>
          <w:trHeight w:val="89"/>
        </w:trPr>
        <w:tc>
          <w:tcPr>
            <w:tcW w:w="800" w:type="dxa"/>
            <w:vAlign w:val="bottom"/>
          </w:tcPr>
          <w:p>
            <w:pPr>
              <w:spacing w:after="0"/>
              <w:rPr>
                <w:sz w:val="20"/>
                <w:szCs w:val="20"/>
                <w:color w:val="auto"/>
              </w:rPr>
            </w:pPr>
            <w:r>
              <w:rPr>
                <w:rFonts w:ascii="Arial" w:cs="Arial" w:eastAsia="Arial" w:hAnsi="Arial"/>
                <w:sz w:val="7"/>
                <w:szCs w:val="7"/>
                <w:color w:val="auto"/>
              </w:rPr>
              <w:t>DG Watkins</w:t>
            </w:r>
          </w:p>
        </w:tc>
        <w:tc>
          <w:tcPr>
            <w:tcW w:w="1080" w:type="dxa"/>
            <w:vAlign w:val="bottom"/>
          </w:tcPr>
          <w:p>
            <w:pPr>
              <w:ind w:left="380"/>
              <w:spacing w:after="0"/>
              <w:rPr>
                <w:sz w:val="20"/>
                <w:szCs w:val="20"/>
                <w:color w:val="auto"/>
              </w:rPr>
            </w:pPr>
            <w:r>
              <w:rPr>
                <w:rFonts w:ascii="Arial" w:cs="Arial" w:eastAsia="Arial" w:hAnsi="Arial"/>
                <w:sz w:val="7"/>
                <w:szCs w:val="7"/>
                <w:color w:val="auto"/>
              </w:rPr>
              <w:t>MD’AS Corbett</w:t>
            </w:r>
          </w:p>
        </w:tc>
        <w:tc>
          <w:tcPr>
            <w:tcW w:w="940" w:type="dxa"/>
            <w:vAlign w:val="bottom"/>
          </w:tcPr>
          <w:p>
            <w:pPr>
              <w:ind w:left="240"/>
              <w:spacing w:after="0"/>
              <w:rPr>
                <w:sz w:val="20"/>
                <w:szCs w:val="20"/>
                <w:color w:val="auto"/>
              </w:rPr>
            </w:pPr>
            <w:r>
              <w:rPr>
                <w:rFonts w:ascii="Arial" w:cs="Arial" w:eastAsia="Arial" w:hAnsi="Arial"/>
                <w:sz w:val="7"/>
                <w:szCs w:val="7"/>
                <w:color w:val="auto"/>
              </w:rPr>
              <w:t>CL Phillips</w:t>
            </w:r>
          </w:p>
        </w:tc>
        <w:tc>
          <w:tcPr>
            <w:tcW w:w="880" w:type="dxa"/>
            <w:vAlign w:val="bottom"/>
          </w:tcPr>
          <w:p>
            <w:pPr>
              <w:ind w:left="220"/>
              <w:spacing w:after="0"/>
              <w:rPr>
                <w:sz w:val="20"/>
                <w:szCs w:val="20"/>
                <w:color w:val="auto"/>
              </w:rPr>
            </w:pPr>
            <w:r>
              <w:rPr>
                <w:rFonts w:ascii="Arial" w:cs="Arial" w:eastAsia="Arial" w:hAnsi="Arial"/>
                <w:sz w:val="7"/>
                <w:szCs w:val="7"/>
                <w:color w:val="auto"/>
              </w:rPr>
              <w:t>N Yeung</w:t>
            </w:r>
          </w:p>
        </w:tc>
        <w:tc>
          <w:tcPr>
            <w:tcW w:w="960" w:type="dxa"/>
            <w:vAlign w:val="bottom"/>
          </w:tcPr>
          <w:p>
            <w:pPr>
              <w:ind w:left="240"/>
              <w:spacing w:after="0"/>
              <w:rPr>
                <w:sz w:val="20"/>
                <w:szCs w:val="20"/>
                <w:color w:val="auto"/>
              </w:rPr>
            </w:pPr>
            <w:r>
              <w:rPr>
                <w:rFonts w:ascii="Arial" w:cs="Arial" w:eastAsia="Arial" w:hAnsi="Arial"/>
                <w:sz w:val="7"/>
                <w:szCs w:val="7"/>
                <w:color w:val="auto"/>
              </w:rPr>
              <w:t>JE Cook</w:t>
            </w:r>
          </w:p>
        </w:tc>
        <w:tc>
          <w:tcPr>
            <w:tcW w:w="960" w:type="dxa"/>
            <w:vAlign w:val="bottom"/>
          </w:tcPr>
          <w:p>
            <w:pPr>
              <w:ind w:left="200"/>
              <w:spacing w:after="0"/>
              <w:rPr>
                <w:sz w:val="20"/>
                <w:szCs w:val="20"/>
                <w:color w:val="auto"/>
              </w:rPr>
            </w:pPr>
            <w:r>
              <w:rPr>
                <w:rFonts w:ascii="Arial" w:cs="Arial" w:eastAsia="Arial" w:hAnsi="Arial"/>
                <w:sz w:val="7"/>
                <w:szCs w:val="7"/>
                <w:color w:val="auto"/>
              </w:rPr>
              <w:t>LJE Nsoatabe</w:t>
            </w:r>
          </w:p>
        </w:tc>
        <w:tc>
          <w:tcPr>
            <w:tcW w:w="880" w:type="dxa"/>
            <w:vAlign w:val="bottom"/>
          </w:tcPr>
          <w:p>
            <w:pPr>
              <w:ind w:left="140"/>
              <w:spacing w:after="0"/>
              <w:rPr>
                <w:sz w:val="20"/>
                <w:szCs w:val="20"/>
                <w:color w:val="auto"/>
              </w:rPr>
            </w:pPr>
            <w:r>
              <w:rPr>
                <w:rFonts w:ascii="Arial" w:cs="Arial" w:eastAsia="Arial" w:hAnsi="Arial"/>
                <w:sz w:val="7"/>
                <w:szCs w:val="7"/>
                <w:color w:val="auto"/>
              </w:rPr>
              <w:t>DP Griffith-Jones</w:t>
            </w: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r>
    </w:tbl>
    <w:p>
      <w:pPr>
        <w:sectPr>
          <w:pgSz w:w="11900" w:h="16838" w:orient="portrait"/>
          <w:cols w:equalWidth="0" w:num="1">
            <w:col w:w="9019"/>
          </w:cols>
          <w:pgMar w:left="1440" w:top="125" w:right="1440" w:bottom="1440" w:gutter="0" w:footer="0" w:header="0"/>
          <w:type w:val="continuous"/>
        </w:sectPr>
      </w:pPr>
    </w:p>
    <w:bookmarkStart w:id="104" w:name="page105"/>
    <w:bookmarkEnd w:id="104"/>
    <w:p>
      <w:pPr>
        <w:ind w:left="740" w:right="1439"/>
        <w:spacing w:after="0" w:line="26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204075" cy="31750"/>
                    </a:xfrm>
                    <a:prstGeom prst="rect">
                      <a:avLst/>
                    </a:prstGeom>
                    <a:noFill/>
                  </pic:spPr>
                </pic:pic>
              </a:graphicData>
            </a:graphic>
          </wp:anchor>
        </w:drawing>
        <w:drawing>
          <wp:anchor simplePos="0" relativeHeight="251657728" behindDoc="1" locked="0" layoutInCell="0" allowOverlap="1">
            <wp:simplePos x="0" y="0"/>
            <wp:positionH relativeFrom="page">
              <wp:posOffset>1130935</wp:posOffset>
            </wp:positionH>
            <wp:positionV relativeFrom="page">
              <wp:posOffset>160020</wp:posOffset>
            </wp:positionV>
            <wp:extent cx="1062355" cy="711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1062355" cy="71120"/>
                    </a:xfrm>
                    <a:prstGeom prst="rect">
                      <a:avLst/>
                    </a:prstGeom>
                    <a:noFill/>
                  </pic:spPr>
                </pic:pic>
              </a:graphicData>
            </a:graphic>
          </wp:anchor>
        </w:drawing>
        <w:t>document or filed with anyone without our express written consent. We have not been concerned with investigating or verifying the facts set out in the Registration Statement.</w:t>
      </w:r>
    </w:p>
    <w:p>
      <w:pPr>
        <w:spacing w:after="0" w:line="145" w:lineRule="exact"/>
        <w:rPr>
          <w:sz w:val="20"/>
          <w:szCs w:val="20"/>
          <w:color w:val="auto"/>
        </w:rPr>
      </w:pPr>
    </w:p>
    <w:p>
      <w:pPr>
        <w:ind w:left="660" w:hanging="319"/>
        <w:spacing w:after="0"/>
        <w:tabs>
          <w:tab w:leader="none" w:pos="6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For the purposes of this opinion, we have examined copies of each of the following documents:</w:t>
      </w:r>
    </w:p>
    <w:p>
      <w:pPr>
        <w:spacing w:after="0" w:line="177" w:lineRule="exact"/>
        <w:rPr>
          <w:rFonts w:ascii="Arial" w:cs="Arial" w:eastAsia="Arial" w:hAnsi="Arial"/>
          <w:sz w:val="13"/>
          <w:szCs w:val="13"/>
          <w:color w:val="auto"/>
        </w:rPr>
      </w:pPr>
    </w:p>
    <w:p>
      <w:pPr>
        <w:ind w:left="1000" w:right="1019" w:hanging="332"/>
        <w:spacing w:after="0" w:line="273" w:lineRule="auto"/>
        <w:tabs>
          <w:tab w:leader="none" w:pos="1000" w:val="left"/>
        </w:tabs>
        <w:numPr>
          <w:ilvl w:val="1"/>
          <w:numId w:val="55"/>
        </w:numPr>
        <w:rPr>
          <w:rFonts w:ascii="Arial" w:cs="Arial" w:eastAsia="Arial" w:hAnsi="Arial"/>
          <w:sz w:val="13"/>
          <w:szCs w:val="13"/>
          <w:color w:val="auto"/>
        </w:rPr>
      </w:pPr>
      <w:r>
        <w:rPr>
          <w:rFonts w:ascii="Arial" w:cs="Arial" w:eastAsia="Arial" w:hAnsi="Arial"/>
          <w:sz w:val="13"/>
          <w:szCs w:val="13"/>
          <w:color w:val="auto"/>
        </w:rPr>
        <w:t>the indenture dated 8 October 2024 and made between Shell Finance US, the Company and Deutsche Bank Trustee Company Americas (the “</w:t>
      </w:r>
      <w:r>
        <w:rPr>
          <w:rFonts w:ascii="Arial" w:cs="Arial" w:eastAsia="Arial" w:hAnsi="Arial"/>
          <w:sz w:val="13"/>
          <w:szCs w:val="13"/>
          <w:b w:val="1"/>
          <w:bCs w:val="1"/>
          <w:color w:val="auto"/>
        </w:rPr>
        <w:t>Indenture</w:t>
      </w:r>
      <w:r>
        <w:rPr>
          <w:rFonts w:ascii="Arial" w:cs="Arial" w:eastAsia="Arial" w:hAnsi="Arial"/>
          <w:sz w:val="13"/>
          <w:szCs w:val="13"/>
          <w:color w:val="auto"/>
        </w:rPr>
        <w:t>”);</w:t>
      </w:r>
    </w:p>
    <w:p>
      <w:pPr>
        <w:spacing w:after="0" w:line="129" w:lineRule="exact"/>
        <w:rPr>
          <w:rFonts w:ascii="Arial" w:cs="Arial" w:eastAsia="Arial" w:hAnsi="Arial"/>
          <w:sz w:val="13"/>
          <w:szCs w:val="13"/>
          <w:color w:val="auto"/>
        </w:rPr>
      </w:pPr>
    </w:p>
    <w:p>
      <w:pPr>
        <w:ind w:left="1000" w:hanging="332"/>
        <w:spacing w:after="0"/>
        <w:tabs>
          <w:tab w:leader="none" w:pos="1000" w:val="left"/>
        </w:tabs>
        <w:numPr>
          <w:ilvl w:val="1"/>
          <w:numId w:val="55"/>
        </w:numPr>
        <w:rPr>
          <w:rFonts w:ascii="Arial" w:cs="Arial" w:eastAsia="Arial" w:hAnsi="Arial"/>
          <w:sz w:val="13"/>
          <w:szCs w:val="13"/>
          <w:color w:val="auto"/>
        </w:rPr>
      </w:pPr>
      <w:r>
        <w:rPr>
          <w:rFonts w:ascii="Arial" w:cs="Arial" w:eastAsia="Arial" w:hAnsi="Arial"/>
          <w:sz w:val="13"/>
          <w:szCs w:val="13"/>
          <w:color w:val="auto"/>
        </w:rPr>
        <w:t>the Registration Statement;</w:t>
      </w:r>
    </w:p>
    <w:p>
      <w:pPr>
        <w:spacing w:after="0" w:line="177" w:lineRule="exact"/>
        <w:rPr>
          <w:rFonts w:ascii="Arial" w:cs="Arial" w:eastAsia="Arial" w:hAnsi="Arial"/>
          <w:sz w:val="13"/>
          <w:szCs w:val="13"/>
          <w:color w:val="auto"/>
        </w:rPr>
      </w:pPr>
    </w:p>
    <w:p>
      <w:pPr>
        <w:ind w:left="1000" w:hanging="332"/>
        <w:spacing w:after="0"/>
        <w:tabs>
          <w:tab w:leader="none" w:pos="1000" w:val="left"/>
        </w:tabs>
        <w:numPr>
          <w:ilvl w:val="1"/>
          <w:numId w:val="55"/>
        </w:numPr>
        <w:rPr>
          <w:rFonts w:ascii="Arial" w:cs="Arial" w:eastAsia="Arial" w:hAnsi="Arial"/>
          <w:sz w:val="13"/>
          <w:szCs w:val="13"/>
          <w:color w:val="auto"/>
        </w:rPr>
      </w:pPr>
      <w:r>
        <w:rPr>
          <w:rFonts w:ascii="Arial" w:cs="Arial" w:eastAsia="Arial" w:hAnsi="Arial"/>
          <w:sz w:val="13"/>
          <w:szCs w:val="13"/>
          <w:color w:val="auto"/>
        </w:rPr>
        <w:t>a certificate of the Company Secretary of the Company dated the date hereof and the documents annexed thereto; and</w:t>
      </w:r>
    </w:p>
    <w:p>
      <w:pPr>
        <w:spacing w:after="0" w:line="177" w:lineRule="exact"/>
        <w:rPr>
          <w:rFonts w:ascii="Arial" w:cs="Arial" w:eastAsia="Arial" w:hAnsi="Arial"/>
          <w:sz w:val="13"/>
          <w:szCs w:val="13"/>
          <w:color w:val="auto"/>
        </w:rPr>
      </w:pPr>
    </w:p>
    <w:p>
      <w:pPr>
        <w:ind w:left="1000" w:right="1019" w:hanging="332"/>
        <w:spacing w:after="0" w:line="273" w:lineRule="auto"/>
        <w:tabs>
          <w:tab w:leader="none" w:pos="1000" w:val="left"/>
        </w:tabs>
        <w:numPr>
          <w:ilvl w:val="1"/>
          <w:numId w:val="55"/>
        </w:numPr>
        <w:rPr>
          <w:rFonts w:ascii="Arial" w:cs="Arial" w:eastAsia="Arial" w:hAnsi="Arial"/>
          <w:sz w:val="13"/>
          <w:szCs w:val="13"/>
          <w:color w:val="auto"/>
        </w:rPr>
      </w:pPr>
      <w:r>
        <w:rPr>
          <w:rFonts w:ascii="Arial" w:cs="Arial" w:eastAsia="Arial" w:hAnsi="Arial"/>
          <w:sz w:val="13"/>
          <w:szCs w:val="13"/>
          <w:color w:val="auto"/>
        </w:rPr>
        <w:t>the entries shown on the Companies House Service obtained by us from the Companies House database on the date hereof of the file of the Company maintained at Companies House (the “</w:t>
      </w:r>
      <w:r>
        <w:rPr>
          <w:rFonts w:ascii="Arial" w:cs="Arial" w:eastAsia="Arial" w:hAnsi="Arial"/>
          <w:sz w:val="13"/>
          <w:szCs w:val="13"/>
          <w:b w:val="1"/>
          <w:bCs w:val="1"/>
          <w:color w:val="auto"/>
        </w:rPr>
        <w:t>Company Search</w:t>
      </w:r>
      <w:r>
        <w:rPr>
          <w:rFonts w:ascii="Arial" w:cs="Arial" w:eastAsia="Arial" w:hAnsi="Arial"/>
          <w:sz w:val="13"/>
          <w:szCs w:val="13"/>
          <w:color w:val="auto"/>
        </w:rPr>
        <w:t>”).</w:t>
      </w:r>
    </w:p>
    <w:p>
      <w:pPr>
        <w:spacing w:after="0" w:line="129" w:lineRule="exact"/>
        <w:rPr>
          <w:rFonts w:ascii="Arial" w:cs="Arial" w:eastAsia="Arial" w:hAnsi="Arial"/>
          <w:sz w:val="13"/>
          <w:szCs w:val="13"/>
          <w:color w:val="auto"/>
        </w:rPr>
      </w:pPr>
    </w:p>
    <w:p>
      <w:pPr>
        <w:ind w:left="660" w:right="1019" w:hanging="319"/>
        <w:spacing w:after="0" w:line="260" w:lineRule="auto"/>
        <w:tabs>
          <w:tab w:leader="none" w:pos="6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We have not been involved in the preparation or negotiation of the Indenture or the Exchange Notes and our role has been limited to the writing of this opinion.</w:t>
      </w:r>
    </w:p>
    <w:p>
      <w:pPr>
        <w:spacing w:after="0" w:line="145" w:lineRule="exact"/>
        <w:rPr>
          <w:rFonts w:ascii="Arial" w:cs="Arial" w:eastAsia="Arial" w:hAnsi="Arial"/>
          <w:sz w:val="13"/>
          <w:szCs w:val="13"/>
          <w:color w:val="auto"/>
        </w:rPr>
      </w:pPr>
    </w:p>
    <w:p>
      <w:pPr>
        <w:jc w:val="both"/>
        <w:ind w:left="660" w:right="1019" w:hanging="319"/>
        <w:spacing w:after="0" w:line="239" w:lineRule="auto"/>
        <w:tabs>
          <w:tab w:leader="none" w:pos="6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This opinion sets out our opinion on certain matters of English law as at today’s date and as currently applied by the English courts as at the date of this letter. We have not made any investigation of, and do not express any opinion on, any other law, in particular the laws of the State of New York (“</w:t>
      </w:r>
      <w:r>
        <w:rPr>
          <w:rFonts w:ascii="Arial" w:cs="Arial" w:eastAsia="Arial" w:hAnsi="Arial"/>
          <w:sz w:val="13"/>
          <w:szCs w:val="13"/>
          <w:b w:val="1"/>
          <w:bCs w:val="1"/>
          <w:color w:val="auto"/>
        </w:rPr>
        <w:t>New York law</w:t>
      </w:r>
      <w:r>
        <w:rPr>
          <w:rFonts w:ascii="Arial" w:cs="Arial" w:eastAsia="Arial" w:hAnsi="Arial"/>
          <w:sz w:val="13"/>
          <w:szCs w:val="13"/>
          <w:color w:val="auto"/>
        </w:rPr>
        <w:t>”) and of the United States of America. This opinion is to be governed by and construed in accordance with English law.</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3"/>
          <w:szCs w:val="13"/>
          <w:u w:val="single" w:color="auto"/>
          <w:color w:val="auto"/>
        </w:rPr>
        <w:t>Assumptions</w:t>
      </w:r>
    </w:p>
    <w:p>
      <w:pPr>
        <w:spacing w:after="0" w:line="177" w:lineRule="exact"/>
        <w:rPr>
          <w:sz w:val="20"/>
          <w:szCs w:val="20"/>
          <w:color w:val="auto"/>
        </w:rPr>
      </w:pPr>
    </w:p>
    <w:p>
      <w:pPr>
        <w:ind w:left="660" w:hanging="319"/>
        <w:spacing w:after="0"/>
        <w:tabs>
          <w:tab w:leader="none" w:pos="6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For the purposes of this opinion, we have assumed each of the following:</w:t>
      </w:r>
    </w:p>
    <w:p>
      <w:pPr>
        <w:spacing w:after="0" w:line="177" w:lineRule="exact"/>
        <w:rPr>
          <w:rFonts w:ascii="Arial" w:cs="Arial" w:eastAsia="Arial" w:hAnsi="Arial"/>
          <w:sz w:val="13"/>
          <w:szCs w:val="13"/>
          <w:color w:val="auto"/>
        </w:rPr>
      </w:pPr>
    </w:p>
    <w:p>
      <w:pPr>
        <w:ind w:left="1000" w:hanging="332"/>
        <w:spacing w:after="0"/>
        <w:tabs>
          <w:tab w:leader="none" w:pos="1000" w:val="left"/>
        </w:tabs>
        <w:numPr>
          <w:ilvl w:val="1"/>
          <w:numId w:val="56"/>
        </w:numPr>
        <w:rPr>
          <w:rFonts w:ascii="Arial" w:cs="Arial" w:eastAsia="Arial" w:hAnsi="Arial"/>
          <w:sz w:val="13"/>
          <w:szCs w:val="13"/>
          <w:color w:val="auto"/>
        </w:rPr>
      </w:pPr>
      <w:r>
        <w:rPr>
          <w:rFonts w:ascii="Arial" w:cs="Arial" w:eastAsia="Arial" w:hAnsi="Arial"/>
          <w:sz w:val="13"/>
          <w:szCs w:val="13"/>
          <w:color w:val="auto"/>
        </w:rPr>
        <w:t>all signatures (including those effected electronically) are genuine;</w:t>
      </w:r>
    </w:p>
    <w:p>
      <w:pPr>
        <w:spacing w:after="0" w:line="177" w:lineRule="exact"/>
        <w:rPr>
          <w:rFonts w:ascii="Arial" w:cs="Arial" w:eastAsia="Arial" w:hAnsi="Arial"/>
          <w:sz w:val="13"/>
          <w:szCs w:val="13"/>
          <w:color w:val="auto"/>
        </w:rPr>
      </w:pPr>
    </w:p>
    <w:p>
      <w:pPr>
        <w:ind w:left="1000" w:hanging="332"/>
        <w:spacing w:after="0"/>
        <w:tabs>
          <w:tab w:leader="none" w:pos="1000" w:val="left"/>
        </w:tabs>
        <w:numPr>
          <w:ilvl w:val="1"/>
          <w:numId w:val="56"/>
        </w:numPr>
        <w:rPr>
          <w:rFonts w:ascii="Arial" w:cs="Arial" w:eastAsia="Arial" w:hAnsi="Arial"/>
          <w:sz w:val="13"/>
          <w:szCs w:val="13"/>
          <w:color w:val="auto"/>
        </w:rPr>
      </w:pPr>
      <w:r>
        <w:rPr>
          <w:rFonts w:ascii="Arial" w:cs="Arial" w:eastAsia="Arial" w:hAnsi="Arial"/>
          <w:sz w:val="13"/>
          <w:szCs w:val="13"/>
          <w:color w:val="auto"/>
        </w:rPr>
        <w:t>the conformity to original documents of all copy (including electronic copy) documents examined by us;</w:t>
      </w:r>
    </w:p>
    <w:p>
      <w:pPr>
        <w:spacing w:after="0" w:line="177" w:lineRule="exact"/>
        <w:rPr>
          <w:rFonts w:ascii="Arial" w:cs="Arial" w:eastAsia="Arial" w:hAnsi="Arial"/>
          <w:sz w:val="13"/>
          <w:szCs w:val="13"/>
          <w:color w:val="auto"/>
        </w:rPr>
      </w:pPr>
    </w:p>
    <w:p>
      <w:pPr>
        <w:ind w:left="1000" w:right="1019" w:hanging="332"/>
        <w:spacing w:after="0" w:line="260" w:lineRule="auto"/>
        <w:tabs>
          <w:tab w:leader="none" w:pos="1000" w:val="left"/>
        </w:tabs>
        <w:numPr>
          <w:ilvl w:val="1"/>
          <w:numId w:val="56"/>
        </w:numPr>
        <w:rPr>
          <w:rFonts w:ascii="Arial" w:cs="Arial" w:eastAsia="Arial" w:hAnsi="Arial"/>
          <w:sz w:val="13"/>
          <w:szCs w:val="13"/>
          <w:color w:val="auto"/>
        </w:rPr>
      </w:pPr>
      <w:r>
        <w:rPr>
          <w:rFonts w:ascii="Arial" w:cs="Arial" w:eastAsia="Arial" w:hAnsi="Arial"/>
          <w:sz w:val="13"/>
          <w:szCs w:val="13"/>
          <w:color w:val="auto"/>
        </w:rPr>
        <w:t>the capacity, power and authority of each of the parties to the Indenture (other than the Company) to execute, deliver and exercise its rights and perform its obligations under the Indenture;</w:t>
      </w:r>
    </w:p>
    <w:p>
      <w:pPr>
        <w:spacing w:after="0" w:line="145" w:lineRule="exact"/>
        <w:rPr>
          <w:rFonts w:ascii="Arial" w:cs="Arial" w:eastAsia="Arial" w:hAnsi="Arial"/>
          <w:sz w:val="13"/>
          <w:szCs w:val="13"/>
          <w:color w:val="auto"/>
        </w:rPr>
      </w:pPr>
    </w:p>
    <w:p>
      <w:pPr>
        <w:ind w:left="1000" w:hanging="332"/>
        <w:spacing w:after="0"/>
        <w:tabs>
          <w:tab w:leader="none" w:pos="1000" w:val="left"/>
        </w:tabs>
        <w:numPr>
          <w:ilvl w:val="1"/>
          <w:numId w:val="56"/>
        </w:numPr>
        <w:rPr>
          <w:rFonts w:ascii="Arial" w:cs="Arial" w:eastAsia="Arial" w:hAnsi="Arial"/>
          <w:sz w:val="13"/>
          <w:szCs w:val="13"/>
          <w:color w:val="auto"/>
        </w:rPr>
      </w:pPr>
      <w:r>
        <w:rPr>
          <w:rFonts w:ascii="Arial" w:cs="Arial" w:eastAsia="Arial" w:hAnsi="Arial"/>
          <w:sz w:val="13"/>
          <w:szCs w:val="13"/>
          <w:color w:val="auto"/>
        </w:rPr>
        <w:t>that the Indenture has been duly executed and delivered by the parties thereto in the form examined by us;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0"/>
          <w:szCs w:val="10"/>
          <w:color w:val="auto"/>
        </w:rPr>
        <w:t>Page 2/Shell plc/[22 May 2026]</w:t>
      </w:r>
    </w:p>
    <w:p>
      <w:pPr>
        <w:sectPr>
          <w:pgSz w:w="11900" w:h="16838" w:orient="portrait"/>
          <w:cols w:equalWidth="0" w:num="1">
            <w:col w:w="9019"/>
          </w:cols>
          <w:pgMar w:left="1440" w:top="1204" w:right="1440" w:bottom="1440" w:gutter="0" w:footer="0" w:header="0"/>
        </w:sectPr>
      </w:pPr>
    </w:p>
    <w:bookmarkStart w:id="105" w:name="page106"/>
    <w:bookmarkEnd w:id="105"/>
    <w:p>
      <w:pPr>
        <w:ind w:left="1000" w:right="1019" w:hanging="332"/>
        <w:spacing w:after="0" w:line="260" w:lineRule="auto"/>
        <w:tabs>
          <w:tab w:leader="none" w:pos="1000" w:val="left"/>
        </w:tabs>
        <w:numPr>
          <w:ilvl w:val="0"/>
          <w:numId w:val="57"/>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204075" cy="32385"/>
                    </a:xfrm>
                    <a:prstGeom prst="rect">
                      <a:avLst/>
                    </a:prstGeom>
                    <a:noFill/>
                  </pic:spPr>
                </pic:pic>
              </a:graphicData>
            </a:graphic>
          </wp:anchor>
        </w:drawing>
        <w:drawing>
          <wp:anchor simplePos="0" relativeHeight="251657728" behindDoc="1" locked="0" layoutInCell="0" allowOverlap="1">
            <wp:simplePos x="0" y="0"/>
            <wp:positionH relativeFrom="page">
              <wp:posOffset>1130935</wp:posOffset>
            </wp:positionH>
            <wp:positionV relativeFrom="page">
              <wp:posOffset>160020</wp:posOffset>
            </wp:positionV>
            <wp:extent cx="1049655" cy="711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1049655" cy="71120"/>
                    </a:xfrm>
                    <a:prstGeom prst="rect">
                      <a:avLst/>
                    </a:prstGeom>
                    <a:noFill/>
                  </pic:spPr>
                </pic:pic>
              </a:graphicData>
            </a:graphic>
          </wp:anchor>
        </w:drawing>
        <w:t>the issuance of the Exchange Notes will not cause the Company or its directors to be in default under articles 94 (</w:t>
      </w:r>
      <w:r>
        <w:rPr>
          <w:rFonts w:ascii="Arial" w:cs="Arial" w:eastAsia="Arial" w:hAnsi="Arial"/>
          <w:sz w:val="13"/>
          <w:szCs w:val="13"/>
          <w:i w:val="1"/>
          <w:iCs w:val="1"/>
          <w:color w:val="auto"/>
        </w:rPr>
        <w:t>General</w:t>
      </w:r>
      <w:r>
        <w:rPr>
          <w:rFonts w:ascii="Arial" w:cs="Arial" w:eastAsia="Arial" w:hAnsi="Arial"/>
          <w:sz w:val="13"/>
          <w:szCs w:val="13"/>
          <w:color w:val="auto"/>
        </w:rPr>
        <w:t xml:space="preserve"> </w:t>
      </w:r>
      <w:r>
        <w:rPr>
          <w:rFonts w:ascii="Arial" w:cs="Arial" w:eastAsia="Arial" w:hAnsi="Arial"/>
          <w:sz w:val="13"/>
          <w:szCs w:val="13"/>
          <w:i w:val="1"/>
          <w:iCs w:val="1"/>
          <w:color w:val="auto"/>
        </w:rPr>
        <w:t>Powers of Company Vested in Board</w:t>
      </w:r>
      <w:r>
        <w:rPr>
          <w:rFonts w:ascii="Arial" w:cs="Arial" w:eastAsia="Arial" w:hAnsi="Arial"/>
          <w:sz w:val="13"/>
          <w:szCs w:val="13"/>
          <w:color w:val="auto"/>
        </w:rPr>
        <w:t>) and 95 (</w:t>
      </w:r>
      <w:r>
        <w:rPr>
          <w:rFonts w:ascii="Arial" w:cs="Arial" w:eastAsia="Arial" w:hAnsi="Arial"/>
          <w:sz w:val="13"/>
          <w:szCs w:val="13"/>
          <w:i w:val="1"/>
          <w:iCs w:val="1"/>
          <w:color w:val="auto"/>
        </w:rPr>
        <w:t>Borrowing Powers</w:t>
      </w:r>
      <w:r>
        <w:rPr>
          <w:rFonts w:ascii="Arial" w:cs="Arial" w:eastAsia="Arial" w:hAnsi="Arial"/>
          <w:sz w:val="13"/>
          <w:szCs w:val="13"/>
          <w:color w:val="auto"/>
        </w:rPr>
        <w:t>) of the Company’s Articles of Association;</w:t>
      </w:r>
    </w:p>
    <w:p>
      <w:pPr>
        <w:spacing w:after="0" w:line="145" w:lineRule="exact"/>
        <w:rPr>
          <w:rFonts w:ascii="Arial" w:cs="Arial" w:eastAsia="Arial" w:hAnsi="Arial"/>
          <w:sz w:val="13"/>
          <w:szCs w:val="13"/>
          <w:color w:val="auto"/>
        </w:rPr>
      </w:pPr>
    </w:p>
    <w:p>
      <w:pPr>
        <w:ind w:left="1000" w:right="1019" w:hanging="332"/>
        <w:spacing w:after="0" w:line="260" w:lineRule="auto"/>
        <w:tabs>
          <w:tab w:leader="none" w:pos="10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that the Indenture was entered into by the Company in good faith and is in the best interests and to the advantage of the Company;</w:t>
      </w:r>
    </w:p>
    <w:p>
      <w:pPr>
        <w:spacing w:after="0" w:line="145" w:lineRule="exact"/>
        <w:rPr>
          <w:rFonts w:ascii="Arial" w:cs="Arial" w:eastAsia="Arial" w:hAnsi="Arial"/>
          <w:sz w:val="13"/>
          <w:szCs w:val="13"/>
          <w:color w:val="auto"/>
        </w:rPr>
      </w:pPr>
    </w:p>
    <w:p>
      <w:pPr>
        <w:ind w:left="1000" w:hanging="332"/>
        <w:spacing w:after="0"/>
        <w:tabs>
          <w:tab w:leader="none" w:pos="10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that the directors of the Company have complied with their duties as directors in so far as relevant to this opinion;</w:t>
      </w:r>
    </w:p>
    <w:p>
      <w:pPr>
        <w:spacing w:after="0" w:line="177" w:lineRule="exact"/>
        <w:rPr>
          <w:rFonts w:ascii="Arial" w:cs="Arial" w:eastAsia="Arial" w:hAnsi="Arial"/>
          <w:sz w:val="13"/>
          <w:szCs w:val="13"/>
          <w:color w:val="auto"/>
        </w:rPr>
      </w:pPr>
    </w:p>
    <w:p>
      <w:pPr>
        <w:ind w:left="1000" w:right="1019" w:hanging="332"/>
        <w:spacing w:after="0" w:line="260" w:lineRule="auto"/>
        <w:tabs>
          <w:tab w:leader="none" w:pos="10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any subordinate legislation made under the European Communities Act 1972 and relevant to this opinion is valid in all respects;</w:t>
      </w:r>
    </w:p>
    <w:p>
      <w:pPr>
        <w:spacing w:after="0" w:line="145" w:lineRule="exact"/>
        <w:rPr>
          <w:rFonts w:ascii="Arial" w:cs="Arial" w:eastAsia="Arial" w:hAnsi="Arial"/>
          <w:sz w:val="13"/>
          <w:szCs w:val="13"/>
          <w:color w:val="auto"/>
        </w:rPr>
      </w:pPr>
    </w:p>
    <w:p>
      <w:pPr>
        <w:jc w:val="both"/>
        <w:ind w:left="1000" w:right="1019" w:hanging="332"/>
        <w:spacing w:after="0" w:line="244" w:lineRule="auto"/>
        <w:tabs>
          <w:tab w:leader="none" w:pos="10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accuracy and completeness of the statements made in, and the documents annexed to, the certificate of the Company Secretary of the Company referred to in paragraph 3(c) above, and that such certificate and statements remain true, accurate and complete as at the date of this opinion;</w:t>
      </w:r>
    </w:p>
    <w:p>
      <w:pPr>
        <w:spacing w:after="0" w:line="156" w:lineRule="exact"/>
        <w:rPr>
          <w:rFonts w:ascii="Arial" w:cs="Arial" w:eastAsia="Arial" w:hAnsi="Arial"/>
          <w:sz w:val="13"/>
          <w:szCs w:val="13"/>
          <w:color w:val="auto"/>
        </w:rPr>
      </w:pPr>
    </w:p>
    <w:p>
      <w:pPr>
        <w:jc w:val="both"/>
        <w:ind w:left="1000" w:right="1019" w:hanging="332"/>
        <w:spacing w:after="0" w:line="232" w:lineRule="auto"/>
        <w:tabs>
          <w:tab w:leader="none" w:pos="10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 the information disclosed by the Company Search and by a search at the Central Registry of Winding-Up Petitions on the date hereof in relation to the Company (together, the “</w:t>
      </w:r>
      <w:r>
        <w:rPr>
          <w:rFonts w:ascii="Arial" w:cs="Arial" w:eastAsia="Arial" w:hAnsi="Arial"/>
          <w:sz w:val="13"/>
          <w:szCs w:val="13"/>
          <w:b w:val="1"/>
          <w:bCs w:val="1"/>
          <w:color w:val="auto"/>
        </w:rPr>
        <w:t>Searches</w:t>
      </w:r>
      <w:r>
        <w:rPr>
          <w:rFonts w:ascii="Arial" w:cs="Arial" w:eastAsia="Arial" w:hAnsi="Arial"/>
          <w:sz w:val="13"/>
          <w:szCs w:val="13"/>
          <w:color w:val="auto"/>
        </w:rPr>
        <w:t>”) was complete, accurate and up to date as at the date each was conducted and has not since then been altered or added to, and the Searches did not fail to disclose any information relevant for the purposes of this opinion; (ii) no application or filing has been made or petition presented to a court, and no order has been made by a court, for the winding-up or administration of, or commencement of a moratorium in relation to, the Company, and no step has been taken to strike off or dissolve the Company; (iii) no proposal for a voluntary arrangement has been made, or moratorium obtained, in relation to the Company under Part I or Part 1A of the Insolvency Act 1986 (as amended); (iv) the Company has not given any notice in relation to or passed any winding-up resolution; (v) no liquidator, administrator, monitor, nominee, supervisor, receiver, administrative receiver, trustee in bankruptcy or similar officer has been appointed in relation to the Company or any of its assets or revenues, and no notice has been given or filed in relation to the appointment of such an officer; and (vi) no insolvency proceedings or analogous procedures have been commenced in any jurisdiction outside of England and Wales in relation to the Company or any of its assets or revenues;</w:t>
      </w:r>
    </w:p>
    <w:p>
      <w:pPr>
        <w:spacing w:after="0" w:line="161" w:lineRule="exact"/>
        <w:rPr>
          <w:rFonts w:ascii="Arial" w:cs="Arial" w:eastAsia="Arial" w:hAnsi="Arial"/>
          <w:sz w:val="13"/>
          <w:szCs w:val="13"/>
          <w:color w:val="auto"/>
        </w:rPr>
      </w:pPr>
    </w:p>
    <w:p>
      <w:pPr>
        <w:ind w:left="1000" w:right="1019" w:hanging="332"/>
        <w:spacing w:after="0" w:line="302" w:lineRule="auto"/>
        <w:tabs>
          <w:tab w:leader="none" w:pos="100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Indenture and the obligations expressed to be assumed by the parties thereto constitute valid, binding and enforceable obligations of the parties thereto under New York law by which law the Indenture is expressed to be governed;</w:t>
      </w:r>
    </w:p>
    <w:p>
      <w:pPr>
        <w:spacing w:after="0" w:line="122" w:lineRule="exact"/>
        <w:rPr>
          <w:rFonts w:ascii="Arial" w:cs="Arial" w:eastAsia="Arial" w:hAnsi="Arial"/>
          <w:sz w:val="12"/>
          <w:szCs w:val="12"/>
          <w:color w:val="auto"/>
        </w:rPr>
      </w:pPr>
    </w:p>
    <w:p>
      <w:pPr>
        <w:ind w:left="1000" w:hanging="332"/>
        <w:spacing w:after="0"/>
        <w:tabs>
          <w:tab w:leader="none" w:pos="10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Indenture has the same meaning and effect as if it were governed by English law;</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0"/>
          <w:szCs w:val="10"/>
          <w:color w:val="auto"/>
        </w:rPr>
        <w:t>Page 3/Shell plc/[22 May 2026]</w:t>
      </w:r>
    </w:p>
    <w:p>
      <w:pPr>
        <w:sectPr>
          <w:pgSz w:w="11900" w:h="16838" w:orient="portrait"/>
          <w:cols w:equalWidth="0" w:num="1">
            <w:col w:w="9019"/>
          </w:cols>
          <w:pgMar w:left="1440" w:top="1204" w:right="1440" w:bottom="1440" w:gutter="0" w:footer="0" w:header="0"/>
        </w:sectPr>
      </w:pPr>
    </w:p>
    <w:bookmarkStart w:id="106" w:name="page107"/>
    <w:bookmarkEnd w:id="106"/>
    <w:p>
      <w:pPr>
        <w:jc w:val="both"/>
        <w:ind w:left="1000" w:right="1019" w:hanging="332"/>
        <w:spacing w:after="0" w:line="239" w:lineRule="auto"/>
        <w:tabs>
          <w:tab w:leader="none" w:pos="1000" w:val="left"/>
        </w:tabs>
        <w:numPr>
          <w:ilvl w:val="0"/>
          <w:numId w:val="58"/>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204075" cy="31750"/>
                    </a:xfrm>
                    <a:prstGeom prst="rect">
                      <a:avLst/>
                    </a:prstGeom>
                    <a:noFill/>
                  </pic:spPr>
                </pic:pic>
              </a:graphicData>
            </a:graphic>
          </wp:anchor>
        </w:drawing>
        <w:drawing>
          <wp:anchor simplePos="0" relativeHeight="251657728" behindDoc="1" locked="0" layoutInCell="0" allowOverlap="1">
            <wp:simplePos x="0" y="0"/>
            <wp:positionH relativeFrom="page">
              <wp:posOffset>1130935</wp:posOffset>
            </wp:positionH>
            <wp:positionV relativeFrom="page">
              <wp:posOffset>160020</wp:posOffset>
            </wp:positionV>
            <wp:extent cx="1049655" cy="711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1049655" cy="71120"/>
                    </a:xfrm>
                    <a:prstGeom prst="rect">
                      <a:avLst/>
                    </a:prstGeom>
                    <a:noFill/>
                  </pic:spPr>
                </pic:pic>
              </a:graphicData>
            </a:graphic>
          </wp:anchor>
        </w:drawing>
        <w:t>no law of any jurisdiction outside England and Wales would render the execution, authentication, delivery or issue of the Indenture illegal, ineffective or contrary to public policy and that, insofar as any obligation under the Indenture is or will be performed in, or is otherwise subject to, any jurisdiction other than England and Wales, its performance will not be illegal, ineffective or contrary to public policy in that jurisdiction;</w:t>
      </w:r>
    </w:p>
    <w:p>
      <w:pPr>
        <w:spacing w:after="0" w:line="159" w:lineRule="exact"/>
        <w:rPr>
          <w:rFonts w:ascii="Arial" w:cs="Arial" w:eastAsia="Arial" w:hAnsi="Arial"/>
          <w:sz w:val="13"/>
          <w:szCs w:val="13"/>
          <w:color w:val="auto"/>
        </w:rPr>
      </w:pPr>
    </w:p>
    <w:p>
      <w:pPr>
        <w:jc w:val="both"/>
        <w:ind w:left="1000" w:right="1019" w:hanging="332"/>
        <w:spacing w:after="0" w:line="237" w:lineRule="auto"/>
        <w:tabs>
          <w:tab w:leader="none" w:pos="10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no person has taken or will take any action in relation to the Exchange Notes (i) which constitutes carrying on, or purporting to carry on, a regulated activity in the United Kingdom in contravention of section 19 of the Financial Services and Markets Act 2000 (the “</w:t>
      </w:r>
      <w:r>
        <w:rPr>
          <w:rFonts w:ascii="Arial" w:cs="Arial" w:eastAsia="Arial" w:hAnsi="Arial"/>
          <w:sz w:val="13"/>
          <w:szCs w:val="13"/>
          <w:b w:val="1"/>
          <w:bCs w:val="1"/>
          <w:color w:val="auto"/>
        </w:rPr>
        <w:t>FSMA</w:t>
      </w:r>
      <w:r>
        <w:rPr>
          <w:rFonts w:ascii="Arial" w:cs="Arial" w:eastAsia="Arial" w:hAnsi="Arial"/>
          <w:sz w:val="13"/>
          <w:szCs w:val="13"/>
          <w:color w:val="auto"/>
        </w:rPr>
        <w:t>”) (within the meaning of the FSMA), or (ii) in consequence of anything said or done by any person in the course of carrying on a regulated activity (within the meaning of the FSMA) in the United Kingdom in contravention of that section;</w:t>
      </w:r>
    </w:p>
    <w:p>
      <w:pPr>
        <w:spacing w:after="0" w:line="159" w:lineRule="exact"/>
        <w:rPr>
          <w:rFonts w:ascii="Arial" w:cs="Arial" w:eastAsia="Arial" w:hAnsi="Arial"/>
          <w:sz w:val="13"/>
          <w:szCs w:val="13"/>
          <w:color w:val="auto"/>
        </w:rPr>
      </w:pPr>
    </w:p>
    <w:p>
      <w:pPr>
        <w:ind w:left="1000" w:right="1019" w:hanging="332"/>
        <w:spacing w:after="0" w:line="260" w:lineRule="auto"/>
        <w:tabs>
          <w:tab w:leader="none" w:pos="10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all marketing of the Exchange Notes will take place outside the United Kingdom or in such a way that does not contravene section 21 of the FSMA;</w:t>
      </w:r>
    </w:p>
    <w:p>
      <w:pPr>
        <w:spacing w:after="0" w:line="145" w:lineRule="exact"/>
        <w:rPr>
          <w:rFonts w:ascii="Arial" w:cs="Arial" w:eastAsia="Arial" w:hAnsi="Arial"/>
          <w:sz w:val="13"/>
          <w:szCs w:val="13"/>
          <w:color w:val="auto"/>
        </w:rPr>
      </w:pPr>
    </w:p>
    <w:p>
      <w:pPr>
        <w:ind w:left="1000" w:right="1019" w:hanging="332"/>
        <w:spacing w:after="0" w:line="260" w:lineRule="auto"/>
        <w:tabs>
          <w:tab w:leader="none" w:pos="10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since 8 October 2024, no amendments have been made to the Indenture which continues in full force and effect as at the date hereof; and</w:t>
      </w:r>
    </w:p>
    <w:p>
      <w:pPr>
        <w:spacing w:after="0" w:line="145" w:lineRule="exact"/>
        <w:rPr>
          <w:rFonts w:ascii="Arial" w:cs="Arial" w:eastAsia="Arial" w:hAnsi="Arial"/>
          <w:sz w:val="13"/>
          <w:szCs w:val="13"/>
          <w:color w:val="auto"/>
        </w:rPr>
      </w:pPr>
    </w:p>
    <w:p>
      <w:pPr>
        <w:jc w:val="both"/>
        <w:ind w:left="1000" w:right="1019" w:hanging="332"/>
        <w:spacing w:after="0" w:line="244" w:lineRule="auto"/>
        <w:tabs>
          <w:tab w:leader="none" w:pos="10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all acts, conditions or things required to be fulfilled, performed or effected in connection with the Indenture under the laws of any jurisdiction other than England and Wales have been duly fulfilled, performed and effected in accordance with the laws of each such jurisdiction.</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3"/>
          <w:szCs w:val="13"/>
          <w:u w:val="single" w:color="auto"/>
          <w:color w:val="auto"/>
        </w:rPr>
        <w:t>Opinion</w:t>
      </w:r>
    </w:p>
    <w:p>
      <w:pPr>
        <w:spacing w:after="0" w:line="177" w:lineRule="exact"/>
        <w:rPr>
          <w:sz w:val="20"/>
          <w:szCs w:val="20"/>
          <w:color w:val="auto"/>
        </w:rPr>
      </w:pPr>
    </w:p>
    <w:p>
      <w:pPr>
        <w:ind w:left="660" w:right="1019" w:hanging="319"/>
        <w:spacing w:after="0" w:line="260" w:lineRule="auto"/>
        <w:tabs>
          <w:tab w:leader="none" w:pos="6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Based on and subject to the foregoing and subject to the reservations below and to any matters not disclosed to us, we are of the opinion that:</w:t>
      </w:r>
    </w:p>
    <w:p>
      <w:pPr>
        <w:spacing w:after="0" w:line="145" w:lineRule="exact"/>
        <w:rPr>
          <w:rFonts w:ascii="Arial" w:cs="Arial" w:eastAsia="Arial" w:hAnsi="Arial"/>
          <w:sz w:val="13"/>
          <w:szCs w:val="13"/>
          <w:color w:val="auto"/>
        </w:rPr>
      </w:pPr>
    </w:p>
    <w:p>
      <w:pPr>
        <w:ind w:left="1000" w:right="1019" w:hanging="332"/>
        <w:spacing w:after="0" w:line="260" w:lineRule="auto"/>
        <w:tabs>
          <w:tab w:leader="none" w:pos="1000" w:val="left"/>
        </w:tabs>
        <w:numPr>
          <w:ilvl w:val="1"/>
          <w:numId w:val="59"/>
        </w:numPr>
        <w:rPr>
          <w:rFonts w:ascii="Arial" w:cs="Arial" w:eastAsia="Arial" w:hAnsi="Arial"/>
          <w:sz w:val="13"/>
          <w:szCs w:val="13"/>
          <w:color w:val="auto"/>
        </w:rPr>
      </w:pPr>
      <w:r>
        <w:rPr>
          <w:rFonts w:ascii="Arial" w:cs="Arial" w:eastAsia="Arial" w:hAnsi="Arial"/>
          <w:sz w:val="13"/>
          <w:szCs w:val="13"/>
          <w:color w:val="auto"/>
        </w:rPr>
        <w:t>the Company is a public company limited by shares duly incorporated under the laws of England and Wales and is a validly existing company;</w:t>
      </w:r>
    </w:p>
    <w:p>
      <w:pPr>
        <w:spacing w:after="0" w:line="145" w:lineRule="exact"/>
        <w:rPr>
          <w:rFonts w:ascii="Arial" w:cs="Arial" w:eastAsia="Arial" w:hAnsi="Arial"/>
          <w:sz w:val="13"/>
          <w:szCs w:val="13"/>
          <w:color w:val="auto"/>
        </w:rPr>
      </w:pPr>
    </w:p>
    <w:p>
      <w:pPr>
        <w:ind w:left="1000" w:hanging="332"/>
        <w:spacing w:after="0"/>
        <w:tabs>
          <w:tab w:leader="none" w:pos="1000" w:val="left"/>
        </w:tabs>
        <w:numPr>
          <w:ilvl w:val="1"/>
          <w:numId w:val="59"/>
        </w:numPr>
        <w:rPr>
          <w:rFonts w:ascii="Arial" w:cs="Arial" w:eastAsia="Arial" w:hAnsi="Arial"/>
          <w:sz w:val="13"/>
          <w:szCs w:val="13"/>
          <w:color w:val="auto"/>
        </w:rPr>
      </w:pPr>
      <w:r>
        <w:rPr>
          <w:rFonts w:ascii="Arial" w:cs="Arial" w:eastAsia="Arial" w:hAnsi="Arial"/>
          <w:sz w:val="13"/>
          <w:szCs w:val="13"/>
          <w:color w:val="auto"/>
        </w:rPr>
        <w:t>the Indenture has been duly authorised by the Company;</w:t>
      </w:r>
    </w:p>
    <w:p>
      <w:pPr>
        <w:spacing w:after="0" w:line="177" w:lineRule="exact"/>
        <w:rPr>
          <w:rFonts w:ascii="Arial" w:cs="Arial" w:eastAsia="Arial" w:hAnsi="Arial"/>
          <w:sz w:val="13"/>
          <w:szCs w:val="13"/>
          <w:color w:val="auto"/>
        </w:rPr>
      </w:pPr>
    </w:p>
    <w:p>
      <w:pPr>
        <w:ind w:left="1000" w:right="1019" w:hanging="332"/>
        <w:spacing w:after="0" w:line="260" w:lineRule="auto"/>
        <w:tabs>
          <w:tab w:leader="none" w:pos="1000" w:val="left"/>
        </w:tabs>
        <w:numPr>
          <w:ilvl w:val="1"/>
          <w:numId w:val="59"/>
        </w:numPr>
        <w:rPr>
          <w:rFonts w:ascii="Arial" w:cs="Arial" w:eastAsia="Arial" w:hAnsi="Arial"/>
          <w:sz w:val="13"/>
          <w:szCs w:val="13"/>
          <w:color w:val="auto"/>
        </w:rPr>
      </w:pPr>
      <w:r>
        <w:rPr>
          <w:rFonts w:ascii="Arial" w:cs="Arial" w:eastAsia="Arial" w:hAnsi="Arial"/>
          <w:sz w:val="13"/>
          <w:szCs w:val="13"/>
          <w:color w:val="auto"/>
        </w:rPr>
        <w:t>the signing and delivery of the Indenture by the Company was not, and the exercise of its rights and the performance of its obligations under the Indenture is not, prohibited by the Articles of Association of the Company;</w:t>
      </w:r>
    </w:p>
    <w:p>
      <w:pPr>
        <w:spacing w:after="0" w:line="145" w:lineRule="exact"/>
        <w:rPr>
          <w:rFonts w:ascii="Arial" w:cs="Arial" w:eastAsia="Arial" w:hAnsi="Arial"/>
          <w:sz w:val="13"/>
          <w:szCs w:val="13"/>
          <w:color w:val="auto"/>
        </w:rPr>
      </w:pPr>
    </w:p>
    <w:p>
      <w:pPr>
        <w:ind w:left="1000" w:right="1019" w:hanging="332"/>
        <w:spacing w:after="0" w:line="260" w:lineRule="auto"/>
        <w:tabs>
          <w:tab w:leader="none" w:pos="1000" w:val="left"/>
        </w:tabs>
        <w:numPr>
          <w:ilvl w:val="1"/>
          <w:numId w:val="59"/>
        </w:numPr>
        <w:rPr>
          <w:rFonts w:ascii="Arial" w:cs="Arial" w:eastAsia="Arial" w:hAnsi="Arial"/>
          <w:sz w:val="13"/>
          <w:szCs w:val="13"/>
          <w:color w:val="auto"/>
        </w:rPr>
      </w:pPr>
      <w:r>
        <w:rPr>
          <w:rFonts w:ascii="Arial" w:cs="Arial" w:eastAsia="Arial" w:hAnsi="Arial"/>
          <w:sz w:val="13"/>
          <w:szCs w:val="13"/>
          <w:color w:val="auto"/>
        </w:rPr>
        <w:t>on the assumption that the Indenture creates valid and binding obligations of the parties under New York law, English law will not prevent any provision of the Indenture from being valid and binding obligations of the Company; and</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0"/>
          <w:szCs w:val="10"/>
          <w:color w:val="auto"/>
        </w:rPr>
        <w:t>Page 4/Shell plc/[22 May 2026]</w:t>
      </w:r>
    </w:p>
    <w:p>
      <w:pPr>
        <w:sectPr>
          <w:pgSz w:w="11900" w:h="16838" w:orient="portrait"/>
          <w:cols w:equalWidth="0" w:num="1">
            <w:col w:w="9019"/>
          </w:cols>
          <w:pgMar w:left="1440" w:top="1204" w:right="1440" w:bottom="1440" w:gutter="0" w:footer="0" w:header="0"/>
        </w:sectPr>
      </w:pPr>
    </w:p>
    <w:bookmarkStart w:id="107" w:name="page108"/>
    <w:bookmarkEnd w:id="107"/>
    <w:p>
      <w:pPr>
        <w:jc w:val="both"/>
        <w:ind w:left="1000" w:right="1019" w:hanging="332"/>
        <w:spacing w:after="0" w:line="244" w:lineRule="auto"/>
        <w:tabs>
          <w:tab w:leader="none" w:pos="1000" w:val="left"/>
        </w:tabs>
        <w:numPr>
          <w:ilvl w:val="0"/>
          <w:numId w:val="60"/>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7204075" cy="32385"/>
                    </a:xfrm>
                    <a:prstGeom prst="rect">
                      <a:avLst/>
                    </a:prstGeom>
                    <a:noFill/>
                  </pic:spPr>
                </pic:pic>
              </a:graphicData>
            </a:graphic>
          </wp:anchor>
        </w:drawing>
        <w:drawing>
          <wp:anchor simplePos="0" relativeHeight="251657728" behindDoc="1" locked="0" layoutInCell="0" allowOverlap="1">
            <wp:simplePos x="0" y="0"/>
            <wp:positionH relativeFrom="page">
              <wp:posOffset>1130935</wp:posOffset>
            </wp:positionH>
            <wp:positionV relativeFrom="page">
              <wp:posOffset>160020</wp:posOffset>
            </wp:positionV>
            <wp:extent cx="1049655" cy="711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1049655" cy="71120"/>
                    </a:xfrm>
                    <a:prstGeom prst="rect">
                      <a:avLst/>
                    </a:prstGeom>
                    <a:noFill/>
                  </pic:spPr>
                </pic:pic>
              </a:graphicData>
            </a:graphic>
          </wp:anchor>
        </w:drawing>
        <w:t>the statements in the Registration Statement in the second, third and fourth paragraphs of the section headed “Enforceability of Certain Civil Liabilities”, insofar as they refer to statements of law or legal conclusions, in all material respects present fairly the information shown.</w:t>
      </w:r>
    </w:p>
    <w:p>
      <w:pPr>
        <w:spacing w:after="0" w:line="299" w:lineRule="exact"/>
        <w:rPr>
          <w:sz w:val="20"/>
          <w:szCs w:val="20"/>
          <w:color w:val="auto"/>
        </w:rPr>
      </w:pPr>
    </w:p>
    <w:p>
      <w:pPr>
        <w:ind w:left="340"/>
        <w:spacing w:after="0"/>
        <w:rPr>
          <w:sz w:val="20"/>
          <w:szCs w:val="20"/>
          <w:color w:val="auto"/>
        </w:rPr>
      </w:pPr>
      <w:r>
        <w:rPr>
          <w:rFonts w:ascii="Arial" w:cs="Arial" w:eastAsia="Arial" w:hAnsi="Arial"/>
          <w:sz w:val="13"/>
          <w:szCs w:val="13"/>
          <w:u w:val="single" w:color="auto"/>
          <w:color w:val="auto"/>
        </w:rPr>
        <w:t>Reservations</w:t>
      </w:r>
    </w:p>
    <w:p>
      <w:pPr>
        <w:spacing w:after="0" w:line="177" w:lineRule="exact"/>
        <w:rPr>
          <w:sz w:val="20"/>
          <w:szCs w:val="20"/>
          <w:color w:val="auto"/>
        </w:rPr>
      </w:pPr>
    </w:p>
    <w:p>
      <w:pPr>
        <w:ind w:left="660" w:hanging="319"/>
        <w:spacing w:after="0"/>
        <w:tabs>
          <w:tab w:leader="none" w:pos="6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Our opinion is qualified by the following reservations:</w:t>
      </w:r>
    </w:p>
    <w:p>
      <w:pPr>
        <w:spacing w:after="0" w:line="177" w:lineRule="exact"/>
        <w:rPr>
          <w:rFonts w:ascii="Arial" w:cs="Arial" w:eastAsia="Arial" w:hAnsi="Arial"/>
          <w:sz w:val="13"/>
          <w:szCs w:val="13"/>
          <w:color w:val="auto"/>
        </w:rPr>
      </w:pPr>
    </w:p>
    <w:p>
      <w:pPr>
        <w:jc w:val="both"/>
        <w:ind w:left="1000" w:right="1019" w:hanging="332"/>
        <w:spacing w:after="0" w:line="244" w:lineRule="auto"/>
        <w:tabs>
          <w:tab w:leader="none" w:pos="1000" w:val="left"/>
        </w:tabs>
        <w:numPr>
          <w:ilvl w:val="1"/>
          <w:numId w:val="61"/>
        </w:numPr>
        <w:rPr>
          <w:rFonts w:ascii="Arial" w:cs="Arial" w:eastAsia="Arial" w:hAnsi="Arial"/>
          <w:sz w:val="13"/>
          <w:szCs w:val="13"/>
          <w:color w:val="auto"/>
        </w:rPr>
      </w:pPr>
      <w:r>
        <w:rPr>
          <w:rFonts w:ascii="Arial" w:cs="Arial" w:eastAsia="Arial" w:hAnsi="Arial"/>
          <w:sz w:val="13"/>
          <w:szCs w:val="13"/>
          <w:color w:val="auto"/>
        </w:rPr>
        <w:t>the term “binding” is used in this opinion to describe an obligation of the type which the English Courts would enforce. This does not mean that the obligation will necessarily be legally binding and enforceable in all circumstances in accordance with its terms;</w:t>
      </w:r>
    </w:p>
    <w:p>
      <w:pPr>
        <w:spacing w:after="0" w:line="156" w:lineRule="exact"/>
        <w:rPr>
          <w:rFonts w:ascii="Arial" w:cs="Arial" w:eastAsia="Arial" w:hAnsi="Arial"/>
          <w:sz w:val="13"/>
          <w:szCs w:val="13"/>
          <w:color w:val="auto"/>
        </w:rPr>
      </w:pPr>
    </w:p>
    <w:p>
      <w:pPr>
        <w:jc w:val="both"/>
        <w:ind w:left="1000" w:right="1019" w:hanging="332"/>
        <w:spacing w:after="0" w:line="244" w:lineRule="auto"/>
        <w:tabs>
          <w:tab w:leader="none" w:pos="1000" w:val="left"/>
        </w:tabs>
        <w:numPr>
          <w:ilvl w:val="1"/>
          <w:numId w:val="61"/>
        </w:numPr>
        <w:rPr>
          <w:rFonts w:ascii="Arial" w:cs="Arial" w:eastAsia="Arial" w:hAnsi="Arial"/>
          <w:sz w:val="13"/>
          <w:szCs w:val="13"/>
          <w:color w:val="auto"/>
        </w:rPr>
      </w:pPr>
      <w:r>
        <w:rPr>
          <w:rFonts w:ascii="Arial" w:cs="Arial" w:eastAsia="Arial" w:hAnsi="Arial"/>
          <w:sz w:val="13"/>
          <w:szCs w:val="13"/>
          <w:color w:val="auto"/>
        </w:rPr>
        <w:t>undertakings, covenants and indemnities contained in the Indenture may not be enforceable before an English court insofar as they purport to require payment or reimbursement of the costs of any unsuccessful litigation brought before an English court or where the court itself has made an order for costs;</w:t>
      </w:r>
    </w:p>
    <w:p>
      <w:pPr>
        <w:spacing w:after="0" w:line="156" w:lineRule="exact"/>
        <w:rPr>
          <w:rFonts w:ascii="Arial" w:cs="Arial" w:eastAsia="Arial" w:hAnsi="Arial"/>
          <w:sz w:val="13"/>
          <w:szCs w:val="13"/>
          <w:color w:val="auto"/>
        </w:rPr>
      </w:pPr>
    </w:p>
    <w:p>
      <w:pPr>
        <w:jc w:val="both"/>
        <w:ind w:left="1000" w:right="1019" w:hanging="332"/>
        <w:spacing w:after="0" w:line="244" w:lineRule="auto"/>
        <w:tabs>
          <w:tab w:leader="none" w:pos="1000" w:val="left"/>
        </w:tabs>
        <w:numPr>
          <w:ilvl w:val="1"/>
          <w:numId w:val="61"/>
        </w:numPr>
        <w:rPr>
          <w:rFonts w:ascii="Arial" w:cs="Arial" w:eastAsia="Arial" w:hAnsi="Arial"/>
          <w:sz w:val="13"/>
          <w:szCs w:val="13"/>
          <w:color w:val="auto"/>
        </w:rPr>
      </w:pPr>
      <w:r>
        <w:rPr>
          <w:rFonts w:ascii="Arial" w:cs="Arial" w:eastAsia="Arial" w:hAnsi="Arial"/>
          <w:sz w:val="13"/>
          <w:szCs w:val="13"/>
          <w:color w:val="auto"/>
        </w:rPr>
        <w:t>insofar as any obligation under the Indenture is to be performed in any jurisdiction other than England and Wales, an English court may have to have regard to the law of that jurisdiction in relation to the manner of performance and the steps to be taken in the event of defective performance;</w:t>
      </w:r>
    </w:p>
    <w:p>
      <w:pPr>
        <w:spacing w:after="0" w:line="156" w:lineRule="exact"/>
        <w:rPr>
          <w:rFonts w:ascii="Arial" w:cs="Arial" w:eastAsia="Arial" w:hAnsi="Arial"/>
          <w:sz w:val="13"/>
          <w:szCs w:val="13"/>
          <w:color w:val="auto"/>
        </w:rPr>
      </w:pPr>
    </w:p>
    <w:p>
      <w:pPr>
        <w:ind w:left="1000" w:right="1019" w:hanging="332"/>
        <w:spacing w:after="0" w:line="260" w:lineRule="auto"/>
        <w:tabs>
          <w:tab w:leader="none" w:pos="1000" w:val="left"/>
        </w:tabs>
        <w:numPr>
          <w:ilvl w:val="1"/>
          <w:numId w:val="61"/>
        </w:numPr>
        <w:rPr>
          <w:rFonts w:ascii="Arial" w:cs="Arial" w:eastAsia="Arial" w:hAnsi="Arial"/>
          <w:sz w:val="13"/>
          <w:szCs w:val="13"/>
          <w:color w:val="auto"/>
        </w:rPr>
      </w:pPr>
      <w:r>
        <w:rPr>
          <w:rFonts w:ascii="Arial" w:cs="Arial" w:eastAsia="Arial" w:hAnsi="Arial"/>
          <w:sz w:val="13"/>
          <w:szCs w:val="13"/>
          <w:color w:val="auto"/>
        </w:rPr>
        <w:t>we express no opinion as to whether specific performance, injunctive relief or any other form of equitable remedy would be available in respect of any obligation of the Company under or in respect of the Indenture;</w:t>
      </w:r>
    </w:p>
    <w:p>
      <w:pPr>
        <w:spacing w:after="0" w:line="145" w:lineRule="exact"/>
        <w:rPr>
          <w:rFonts w:ascii="Arial" w:cs="Arial" w:eastAsia="Arial" w:hAnsi="Arial"/>
          <w:sz w:val="13"/>
          <w:szCs w:val="13"/>
          <w:color w:val="auto"/>
        </w:rPr>
      </w:pPr>
    </w:p>
    <w:p>
      <w:pPr>
        <w:jc w:val="both"/>
        <w:ind w:left="1000" w:right="1019" w:hanging="332"/>
        <w:spacing w:after="0" w:line="244" w:lineRule="auto"/>
        <w:tabs>
          <w:tab w:leader="none" w:pos="1000" w:val="left"/>
        </w:tabs>
        <w:numPr>
          <w:ilvl w:val="1"/>
          <w:numId w:val="61"/>
        </w:numPr>
        <w:rPr>
          <w:rFonts w:ascii="Arial" w:cs="Arial" w:eastAsia="Arial" w:hAnsi="Arial"/>
          <w:sz w:val="13"/>
          <w:szCs w:val="13"/>
          <w:color w:val="auto"/>
        </w:rPr>
      </w:pPr>
      <w:r>
        <w:rPr>
          <w:rFonts w:ascii="Arial" w:cs="Arial" w:eastAsia="Arial" w:hAnsi="Arial"/>
          <w:sz w:val="13"/>
          <w:szCs w:val="13"/>
          <w:color w:val="auto"/>
        </w:rPr>
        <w:t>the obligations of the Company under or in respect of the Indenture will be subject to any law from time to time in force relating to insolvency, liquidation or administration or any other law or legal procedure affecting generally the enforcement of creditors’ rights;</w:t>
      </w:r>
    </w:p>
    <w:p>
      <w:pPr>
        <w:spacing w:after="0" w:line="156" w:lineRule="exact"/>
        <w:rPr>
          <w:rFonts w:ascii="Arial" w:cs="Arial" w:eastAsia="Arial" w:hAnsi="Arial"/>
          <w:sz w:val="13"/>
          <w:szCs w:val="13"/>
          <w:color w:val="auto"/>
        </w:rPr>
      </w:pPr>
    </w:p>
    <w:p>
      <w:pPr>
        <w:jc w:val="both"/>
        <w:ind w:left="1000" w:right="1019" w:hanging="332"/>
        <w:spacing w:after="0" w:line="244" w:lineRule="auto"/>
        <w:tabs>
          <w:tab w:leader="none" w:pos="1000" w:val="left"/>
        </w:tabs>
        <w:numPr>
          <w:ilvl w:val="1"/>
          <w:numId w:val="61"/>
        </w:numPr>
        <w:rPr>
          <w:rFonts w:ascii="Arial" w:cs="Arial" w:eastAsia="Arial" w:hAnsi="Arial"/>
          <w:sz w:val="13"/>
          <w:szCs w:val="13"/>
          <w:color w:val="auto"/>
        </w:rPr>
      </w:pPr>
      <w:r>
        <w:rPr>
          <w:rFonts w:ascii="Arial" w:cs="Arial" w:eastAsia="Arial" w:hAnsi="Arial"/>
          <w:sz w:val="13"/>
          <w:szCs w:val="13"/>
          <w:color w:val="auto"/>
        </w:rPr>
        <w:t>in our opinion, under English law there is doubt as to the enforceability in England and Wales, in original actions or in actions for enforcement of judgments, of United States courts, of liabilities predicated upon United States federal or state securities laws;</w:t>
      </w:r>
    </w:p>
    <w:p>
      <w:pPr>
        <w:spacing w:after="0" w:line="156" w:lineRule="exact"/>
        <w:rPr>
          <w:rFonts w:ascii="Arial" w:cs="Arial" w:eastAsia="Arial" w:hAnsi="Arial"/>
          <w:sz w:val="13"/>
          <w:szCs w:val="13"/>
          <w:color w:val="auto"/>
        </w:rPr>
      </w:pPr>
    </w:p>
    <w:p>
      <w:pPr>
        <w:jc w:val="both"/>
        <w:ind w:left="1000" w:right="1019" w:hanging="332"/>
        <w:spacing w:after="0" w:line="244" w:lineRule="auto"/>
        <w:tabs>
          <w:tab w:leader="none" w:pos="1000" w:val="left"/>
        </w:tabs>
        <w:numPr>
          <w:ilvl w:val="1"/>
          <w:numId w:val="61"/>
        </w:numPr>
        <w:rPr>
          <w:rFonts w:ascii="Arial" w:cs="Arial" w:eastAsia="Arial" w:hAnsi="Arial"/>
          <w:sz w:val="13"/>
          <w:szCs w:val="13"/>
          <w:color w:val="auto"/>
        </w:rPr>
      </w:pPr>
      <w:r>
        <w:rPr>
          <w:rFonts w:ascii="Arial" w:cs="Arial" w:eastAsia="Arial" w:hAnsi="Arial"/>
          <w:sz w:val="13"/>
          <w:szCs w:val="13"/>
          <w:color w:val="auto"/>
        </w:rPr>
        <w:t>the Searches are not conclusive as to whether or not insolvency proceedings have been commenced in relation to the Company or any of its assets. For example, information required to be filed with the Registrar of Companies or the Central Registry of Winding-Up Petitions is not in all cases required to be filed immediately</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0"/>
          <w:szCs w:val="10"/>
          <w:color w:val="auto"/>
        </w:rPr>
        <w:t>Page 5/Shell plc/[22 May 2026]</w:t>
      </w:r>
    </w:p>
    <w:p>
      <w:pPr>
        <w:sectPr>
          <w:pgSz w:w="11900" w:h="16838" w:orient="portrait"/>
          <w:cols w:equalWidth="0" w:num="1">
            <w:col w:w="9019"/>
          </w:cols>
          <w:pgMar w:left="1440" w:top="1204" w:right="1440" w:bottom="1440" w:gutter="0" w:footer="0" w:header="0"/>
        </w:sectPr>
      </w:pPr>
    </w:p>
    <w:bookmarkStart w:id="108" w:name="page109"/>
    <w:bookmarkEnd w:id="108"/>
    <w:p>
      <w:pPr>
        <w:jc w:val="both"/>
        <w:ind w:left="1000" w:right="1019"/>
        <w:spacing w:after="0" w:line="236"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204075" cy="31750"/>
                    </a:xfrm>
                    <a:prstGeom prst="rect">
                      <a:avLst/>
                    </a:prstGeom>
                    <a:noFill/>
                  </pic:spPr>
                </pic:pic>
              </a:graphicData>
            </a:graphic>
          </wp:anchor>
        </w:drawing>
        <w:drawing>
          <wp:anchor simplePos="0" relativeHeight="251657728" behindDoc="1" locked="0" layoutInCell="0" allowOverlap="1">
            <wp:simplePos x="0" y="0"/>
            <wp:positionH relativeFrom="page">
              <wp:posOffset>1130935</wp:posOffset>
            </wp:positionH>
            <wp:positionV relativeFrom="page">
              <wp:posOffset>160020</wp:posOffset>
            </wp:positionV>
            <wp:extent cx="1049655" cy="711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1049655" cy="71120"/>
                    </a:xfrm>
                    <a:prstGeom prst="rect">
                      <a:avLst/>
                    </a:prstGeom>
                    <a:noFill/>
                  </pic:spPr>
                </pic:pic>
              </a:graphicData>
            </a:graphic>
          </wp:anchor>
        </w:drawing>
        <w:t>(and may not be filed at all or on time); once filed, the information may not be made publicly available immediately (or at all); information filed with a District Registry or County Court may not, and in the case of administrations will not, become publicly available at the Central Registry of Winding-Up Petitions; and the Searches may not reveal whether insolvency proceedings or analogous procedures have been commenced in jurisdictions outside England and Wales. However, the certificate of the Company Secretary referred to in paragraph 3(c) above confirms that to the Company Secretary’s knowledge, no such event had occurred as at the date hereof;</w:t>
      </w:r>
    </w:p>
    <w:p>
      <w:pPr>
        <w:spacing w:after="0" w:line="159" w:lineRule="exact"/>
        <w:rPr>
          <w:sz w:val="20"/>
          <w:szCs w:val="20"/>
          <w:color w:val="auto"/>
        </w:rPr>
      </w:pPr>
    </w:p>
    <w:p>
      <w:pPr>
        <w:jc w:val="both"/>
        <w:ind w:left="1000" w:right="1019" w:hanging="332"/>
        <w:spacing w:after="0" w:line="237" w:lineRule="auto"/>
        <w:tabs>
          <w:tab w:leader="none" w:pos="10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our opinion in paragraph 7(e) above is based upon existing statutory, regulatory and judicial authority, all of which may be changed at any time with retrospective effect. Any change in applicable laws or the facts and circumstances surrounding the offering of the Exchange Notes, or any inaccuracy in the statements upon which we have relied, may affect the continuing validity of our opinion in paragraph 7(e) above. We assume no responsibility to inform you of any such change or inaccuracy that may occur or come to our attention;</w:t>
      </w:r>
    </w:p>
    <w:p>
      <w:pPr>
        <w:spacing w:after="0" w:line="159" w:lineRule="exact"/>
        <w:rPr>
          <w:rFonts w:ascii="Arial" w:cs="Arial" w:eastAsia="Arial" w:hAnsi="Arial"/>
          <w:sz w:val="13"/>
          <w:szCs w:val="13"/>
          <w:color w:val="auto"/>
        </w:rPr>
      </w:pPr>
    </w:p>
    <w:p>
      <w:pPr>
        <w:ind w:left="1000" w:hanging="332"/>
        <w:spacing w:after="0"/>
        <w:tabs>
          <w:tab w:leader="none" w:pos="10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this opinion is subject to any limitations arising from:</w:t>
      </w:r>
    </w:p>
    <w:p>
      <w:pPr>
        <w:spacing w:after="0" w:line="177" w:lineRule="exact"/>
        <w:rPr>
          <w:rFonts w:ascii="Arial" w:cs="Arial" w:eastAsia="Arial" w:hAnsi="Arial"/>
          <w:sz w:val="13"/>
          <w:szCs w:val="13"/>
          <w:color w:val="auto"/>
        </w:rPr>
      </w:pPr>
    </w:p>
    <w:p>
      <w:pPr>
        <w:ind w:left="1420" w:hanging="416"/>
        <w:spacing w:after="0"/>
        <w:tabs>
          <w:tab w:leader="none" w:pos="1420" w:val="left"/>
        </w:tabs>
        <w:numPr>
          <w:ilvl w:val="1"/>
          <w:numId w:val="62"/>
        </w:numPr>
        <w:rPr>
          <w:rFonts w:ascii="Arial" w:cs="Arial" w:eastAsia="Arial" w:hAnsi="Arial"/>
          <w:sz w:val="13"/>
          <w:szCs w:val="13"/>
          <w:color w:val="auto"/>
        </w:rPr>
      </w:pPr>
      <w:r>
        <w:rPr>
          <w:rFonts w:ascii="Arial" w:cs="Arial" w:eastAsia="Arial" w:hAnsi="Arial"/>
          <w:sz w:val="13"/>
          <w:szCs w:val="13"/>
          <w:color w:val="auto"/>
        </w:rPr>
        <w:t>United Nations, European Union or United Kingdom sanctions or other similar measures; and</w:t>
      </w:r>
    </w:p>
    <w:p>
      <w:pPr>
        <w:spacing w:after="0" w:line="177" w:lineRule="exact"/>
        <w:rPr>
          <w:rFonts w:ascii="Arial" w:cs="Arial" w:eastAsia="Arial" w:hAnsi="Arial"/>
          <w:sz w:val="13"/>
          <w:szCs w:val="13"/>
          <w:color w:val="auto"/>
        </w:rPr>
      </w:pPr>
    </w:p>
    <w:p>
      <w:pPr>
        <w:jc w:val="both"/>
        <w:ind w:left="1420" w:right="1119" w:hanging="416"/>
        <w:spacing w:after="0" w:line="251" w:lineRule="auto"/>
        <w:tabs>
          <w:tab w:leader="none" w:pos="1420" w:val="left"/>
        </w:tabs>
        <w:numPr>
          <w:ilvl w:val="1"/>
          <w:numId w:val="62"/>
        </w:numPr>
        <w:rPr>
          <w:rFonts w:ascii="Arial" w:cs="Arial" w:eastAsia="Arial" w:hAnsi="Arial"/>
          <w:sz w:val="13"/>
          <w:szCs w:val="13"/>
          <w:color w:val="auto"/>
        </w:rPr>
      </w:pPr>
      <w:r>
        <w:rPr>
          <w:rFonts w:ascii="Arial" w:cs="Arial" w:eastAsia="Arial" w:hAnsi="Arial"/>
          <w:sz w:val="13"/>
          <w:szCs w:val="13"/>
          <w:color w:val="auto"/>
        </w:rPr>
        <w:t>EU Regulation 2271/96 (as it forms part of English law pursuant to the European Union (Withdrawal) Act 2018 (as amended)) protecting against the effects of the extra-territorial application of legislation adopted by a third country (the “</w:t>
      </w:r>
      <w:r>
        <w:rPr>
          <w:rFonts w:ascii="Arial" w:cs="Arial" w:eastAsia="Arial" w:hAnsi="Arial"/>
          <w:sz w:val="13"/>
          <w:szCs w:val="13"/>
          <w:b w:val="1"/>
          <w:bCs w:val="1"/>
          <w:color w:val="auto"/>
        </w:rPr>
        <w:t>Blocking Regulation</w:t>
      </w:r>
      <w:r>
        <w:rPr>
          <w:rFonts w:ascii="Arial" w:cs="Arial" w:eastAsia="Arial" w:hAnsi="Arial"/>
          <w:sz w:val="13"/>
          <w:szCs w:val="13"/>
          <w:color w:val="auto"/>
        </w:rPr>
        <w:t>”) and legislation related to the Blocking Regulation;</w:t>
      </w:r>
    </w:p>
    <w:p>
      <w:pPr>
        <w:spacing w:after="0" w:line="143" w:lineRule="exact"/>
        <w:rPr>
          <w:rFonts w:ascii="Arial" w:cs="Arial" w:eastAsia="Arial" w:hAnsi="Arial"/>
          <w:sz w:val="13"/>
          <w:szCs w:val="13"/>
          <w:color w:val="auto"/>
        </w:rPr>
      </w:pPr>
    </w:p>
    <w:p>
      <w:pPr>
        <w:jc w:val="both"/>
        <w:ind w:left="1000" w:right="1019" w:hanging="332"/>
        <w:spacing w:after="0" w:line="237" w:lineRule="auto"/>
        <w:tabs>
          <w:tab w:leader="none" w:pos="10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where all elements relevant to the situation at the date of the Indenture, other than the choice of New York law, are located in one or more of the United Kingdom and a Member State or States (as defined in The Law Applicable to Contractual and Non-Contractual Obligations (Amendment etc.) (EU Exit) Regulations 2019), provisions of assimilated EU law (previously “retained EU law”) (as defined in the European Union (Withdrawal) Act 2018 (as amended)) which cannot be derogated from by contract may apply; and</w:t>
      </w:r>
    </w:p>
    <w:p>
      <w:pPr>
        <w:spacing w:after="0" w:line="159" w:lineRule="exact"/>
        <w:rPr>
          <w:rFonts w:ascii="Arial" w:cs="Arial" w:eastAsia="Arial" w:hAnsi="Arial"/>
          <w:sz w:val="13"/>
          <w:szCs w:val="13"/>
          <w:color w:val="auto"/>
        </w:rPr>
      </w:pPr>
    </w:p>
    <w:p>
      <w:pPr>
        <w:jc w:val="both"/>
        <w:ind w:left="1000" w:right="1019" w:hanging="332"/>
        <w:spacing w:after="0" w:line="237" w:lineRule="auto"/>
        <w:tabs>
          <w:tab w:leader="none" w:pos="10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we express no opinion as to whether the provisions dealing with the choice of law in respect of non-contractual claims will be effective. Where all elements relevant to the situation at the time the event giving rise to the damage occurs, other than the choice of New York law as the governing law of any non-contractual obligations arising from or in connection with the Indenture, are located in one or more of the United Kingdom and a Member State or States (as defined in The Law Applicable to Contractual and Non-Contractual Obligations (Amendment etc.) (EU Exit)</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0"/>
          <w:szCs w:val="10"/>
          <w:color w:val="auto"/>
        </w:rPr>
        <w:t>Page 6/Shell plc/[22 May 2026]</w:t>
      </w:r>
    </w:p>
    <w:p>
      <w:pPr>
        <w:sectPr>
          <w:pgSz w:w="11900" w:h="16838" w:orient="portrait"/>
          <w:cols w:equalWidth="0" w:num="1">
            <w:col w:w="9019"/>
          </w:cols>
          <w:pgMar w:left="1440" w:top="1204" w:right="1440" w:bottom="1440" w:gutter="0" w:footer="0" w:header="0"/>
        </w:sectPr>
      </w:pPr>
    </w:p>
    <w:bookmarkStart w:id="109" w:name="page110"/>
    <w:bookmarkEnd w:id="109"/>
    <w:p>
      <w:pPr>
        <w:ind w:left="1000" w:right="1019"/>
        <w:spacing w:after="0" w:line="26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7204075" cy="31750"/>
                    </a:xfrm>
                    <a:prstGeom prst="rect">
                      <a:avLst/>
                    </a:prstGeom>
                    <a:noFill/>
                  </pic:spPr>
                </pic:pic>
              </a:graphicData>
            </a:graphic>
          </wp:anchor>
        </w:drawing>
        <w:drawing>
          <wp:anchor simplePos="0" relativeHeight="251657728" behindDoc="1" locked="0" layoutInCell="0" allowOverlap="1">
            <wp:simplePos x="0" y="0"/>
            <wp:positionH relativeFrom="page">
              <wp:posOffset>1130935</wp:posOffset>
            </wp:positionH>
            <wp:positionV relativeFrom="page">
              <wp:posOffset>160020</wp:posOffset>
            </wp:positionV>
            <wp:extent cx="1049655" cy="711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1049655" cy="71120"/>
                    </a:xfrm>
                    <a:prstGeom prst="rect">
                      <a:avLst/>
                    </a:prstGeom>
                    <a:noFill/>
                  </pic:spPr>
                </pic:pic>
              </a:graphicData>
            </a:graphic>
          </wp:anchor>
        </w:drawing>
        <w:t>Regulations 2019), provisions of assimilated EU law (previously “retained EU law”) (as defined in the European Union (Withdrawal) Act 2018 (as amended)) which cannot be derogated from by contract may apply.</w:t>
      </w:r>
    </w:p>
    <w:p>
      <w:pPr>
        <w:spacing w:after="0" w:line="125" w:lineRule="exact"/>
        <w:rPr>
          <w:sz w:val="20"/>
          <w:szCs w:val="20"/>
          <w:color w:val="auto"/>
        </w:rPr>
      </w:pPr>
    </w:p>
    <w:p>
      <w:pPr>
        <w:jc w:val="both"/>
        <w:ind w:left="340" w:right="1019"/>
        <w:spacing w:after="0" w:line="237" w:lineRule="auto"/>
        <w:rPr>
          <w:sz w:val="20"/>
          <w:szCs w:val="20"/>
          <w:color w:val="auto"/>
        </w:rPr>
      </w:pPr>
      <w:r>
        <w:rPr>
          <w:rFonts w:ascii="Arial" w:cs="Arial" w:eastAsia="Arial" w:hAnsi="Arial"/>
          <w:sz w:val="13"/>
          <w:szCs w:val="13"/>
          <w:color w:val="auto"/>
        </w:rPr>
        <w:t>We hereby consent to the filing of this opinion as an exhibit to the Registration Statement and to the references to this opinion therein and to the use of our name under the headings “Enforceability of Certain Civil Liabilities” and “Validity of Notes” in the Registration Statement. In giving this consent we do not admit that we are “experts” under the United States Securities Act of 1933 (as amended) or the rules and regulations of the United States Securities and Exchange Commission issued thereunder with respect to any part of the Registration Statement, including this opinion.</w:t>
      </w:r>
    </w:p>
    <w:p>
      <w:pPr>
        <w:spacing w:after="0" w:line="139" w:lineRule="exact"/>
        <w:rPr>
          <w:sz w:val="20"/>
          <w:szCs w:val="20"/>
          <w:color w:val="auto"/>
        </w:rPr>
      </w:pPr>
    </w:p>
    <w:p>
      <w:pPr>
        <w:jc w:val="both"/>
        <w:ind w:left="340" w:right="1019"/>
        <w:spacing w:after="0" w:line="237" w:lineRule="auto"/>
        <w:rPr>
          <w:sz w:val="20"/>
          <w:szCs w:val="20"/>
          <w:color w:val="auto"/>
        </w:rPr>
      </w:pPr>
      <w:r>
        <w:rPr>
          <w:rFonts w:ascii="Arial" w:cs="Arial" w:eastAsia="Arial" w:hAnsi="Arial"/>
          <w:sz w:val="13"/>
          <w:szCs w:val="13"/>
          <w:color w:val="auto"/>
        </w:rPr>
        <w:t>To the extent permitted by applicable law and regulation, you may rely on this letter only on condition that your recourse to us in respect of the matters addressed in this letter is against the firm’s assets only and not against the personal assets of any individual partner. The firm’s assets for this purpose consists of all assets of the firm’s business, including any right of indemnity of the firm or its partners under the firm’s professional indemnity insurance policies, but excluding any right to seek contribution or indemnity from or against any partner of the firm or person working for the firm or similar right.</w:t>
      </w:r>
    </w:p>
    <w:p>
      <w:pPr>
        <w:spacing w:after="0" w:line="38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Yours faithfully,</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/s/ Slaughter and May</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0"/>
          <w:szCs w:val="10"/>
          <w:color w:val="auto"/>
        </w:rPr>
        <w:t>Page 7/Shell plc/[22 May 2026]</w:t>
      </w:r>
    </w:p>
    <w:p>
      <w:pPr>
        <w:sectPr>
          <w:pgSz w:w="11900" w:h="16838" w:orient="portrait"/>
          <w:cols w:equalWidth="0" w:num="1">
            <w:col w:w="9019"/>
          </w:cols>
          <w:pgMar w:left="1440" w:top="1204" w:right="1440" w:bottom="1440" w:gutter="0" w:footer="0" w:header="0"/>
        </w:sectPr>
      </w:pPr>
    </w:p>
    <w:bookmarkStart w:id="110" w:name="page111"/>
    <w:bookmarkEnd w:id="110"/>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478790</wp:posOffset>
            </wp:positionV>
            <wp:extent cx="528701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5287010" cy="6350"/>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128905</wp:posOffset>
            </wp:positionV>
            <wp:extent cx="1211580" cy="2787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1211580" cy="27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4"/>
          <w:szCs w:val="14"/>
          <w:color w:val="auto"/>
        </w:rPr>
        <w:t>May 22, 2026</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Shell plc</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Shell Finance US Inc.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Registration Statement on Form F-4</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66" w:lineRule="exact"/>
        <w:rPr>
          <w:sz w:val="20"/>
          <w:szCs w:val="20"/>
          <w:color w:val="auto"/>
        </w:rPr>
      </w:pPr>
    </w:p>
    <w:p>
      <w:pPr>
        <w:jc w:val="both"/>
        <w:ind w:left="340" w:right="359"/>
        <w:spacing w:after="0" w:line="246" w:lineRule="auto"/>
        <w:rPr>
          <w:sz w:val="20"/>
          <w:szCs w:val="20"/>
          <w:color w:val="auto"/>
        </w:rPr>
      </w:pPr>
      <w:r>
        <w:rPr>
          <w:rFonts w:ascii="Times New Roman" w:cs="Times New Roman" w:eastAsia="Times New Roman" w:hAnsi="Times New Roman"/>
          <w:sz w:val="14"/>
          <w:szCs w:val="14"/>
          <w:color w:val="auto"/>
        </w:rPr>
        <w:t>We have acted as U.S. counsel to Shell plc, a public company limited by shares incorporated in England and Wales (“</w:t>
      </w:r>
      <w:r>
        <w:rPr>
          <w:rFonts w:ascii="Times New Roman" w:cs="Times New Roman" w:eastAsia="Times New Roman" w:hAnsi="Times New Roman"/>
          <w:sz w:val="14"/>
          <w:szCs w:val="14"/>
          <w:u w:val="single" w:color="auto"/>
          <w:color w:val="auto"/>
        </w:rPr>
        <w:t>Shell</w:t>
      </w:r>
      <w:r>
        <w:rPr>
          <w:rFonts w:ascii="Times New Roman" w:cs="Times New Roman" w:eastAsia="Times New Roman" w:hAnsi="Times New Roman"/>
          <w:sz w:val="14"/>
          <w:szCs w:val="14"/>
          <w:color w:val="auto"/>
        </w:rPr>
        <w:t>”), and Shell Finance US Inc., a Delaware corporation (“</w:t>
      </w:r>
      <w:r>
        <w:rPr>
          <w:rFonts w:ascii="Times New Roman" w:cs="Times New Roman" w:eastAsia="Times New Roman" w:hAnsi="Times New Roman"/>
          <w:sz w:val="14"/>
          <w:szCs w:val="14"/>
          <w:u w:val="single" w:color="auto"/>
          <w:color w:val="auto"/>
        </w:rPr>
        <w:t>Shell Finance US</w:t>
      </w:r>
      <w:r>
        <w:rPr>
          <w:rFonts w:ascii="Times New Roman" w:cs="Times New Roman" w:eastAsia="Times New Roman" w:hAnsi="Times New Roman"/>
          <w:sz w:val="14"/>
          <w:szCs w:val="14"/>
          <w:color w:val="auto"/>
        </w:rPr>
        <w:t>”), in connection with the preparation and filing with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of a registration statement on Form F-4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under the Securities Act of 1933 (the “</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 relating to the registration under the Act and the proposed issuance of the debt securities of Shell Finance US to be unconditionally guaranteed as to the payment of principal, premium (if any) and interest by Shell listed on Annex A hereto (collectively, the “</w:t>
      </w:r>
      <w:r>
        <w:rPr>
          <w:rFonts w:ascii="Times New Roman" w:cs="Times New Roman" w:eastAsia="Times New Roman" w:hAnsi="Times New Roman"/>
          <w:sz w:val="14"/>
          <w:szCs w:val="14"/>
          <w:u w:val="single" w:color="auto"/>
          <w:color w:val="auto"/>
        </w:rPr>
        <w:t>Exchange Notes</w:t>
      </w:r>
      <w:r>
        <w:rPr>
          <w:rFonts w:ascii="Times New Roman" w:cs="Times New Roman" w:eastAsia="Times New Roman" w:hAnsi="Times New Roman"/>
          <w:sz w:val="14"/>
          <w:szCs w:val="14"/>
          <w:color w:val="auto"/>
        </w:rPr>
        <w:t>” and such guarantees, collectively, the “</w:t>
      </w:r>
      <w:r>
        <w:rPr>
          <w:rFonts w:ascii="Times New Roman" w:cs="Times New Roman" w:eastAsia="Times New Roman" w:hAnsi="Times New Roman"/>
          <w:sz w:val="14"/>
          <w:szCs w:val="14"/>
          <w:u w:val="single" w:color="auto"/>
          <w:color w:val="auto"/>
        </w:rPr>
        <w:t>Guarantees</w:t>
      </w:r>
      <w:r>
        <w:rPr>
          <w:rFonts w:ascii="Times New Roman" w:cs="Times New Roman" w:eastAsia="Times New Roman" w:hAnsi="Times New Roman"/>
          <w:sz w:val="14"/>
          <w:szCs w:val="14"/>
          <w:color w:val="auto"/>
        </w:rPr>
        <w:t>”) to be registered under the Act in exchange for outstanding unregistered debt securities (collectively, the “</w:t>
      </w:r>
      <w:r>
        <w:rPr>
          <w:rFonts w:ascii="Times New Roman" w:cs="Times New Roman" w:eastAsia="Times New Roman" w:hAnsi="Times New Roman"/>
          <w:sz w:val="14"/>
          <w:szCs w:val="14"/>
          <w:u w:val="single" w:color="auto"/>
          <w:color w:val="auto"/>
        </w:rPr>
        <w:t>Restricted Notes</w:t>
      </w:r>
      <w:r>
        <w:rPr>
          <w:rFonts w:ascii="Times New Roman" w:cs="Times New Roman" w:eastAsia="Times New Roman" w:hAnsi="Times New Roman"/>
          <w:sz w:val="14"/>
          <w:szCs w:val="14"/>
          <w:color w:val="auto"/>
        </w:rPr>
        <w:t>”), issued by Shell Finance US, and unconditionally guaranteed as to the payment of principal, premium (if any) and interest by Shell. The Exchange Notes will be issued under an Indenture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dated as of October 8, 2024, among Shell Finance US, Shell and Deutsche Bank Trust Company Americas, as trustee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jc w:val="both"/>
        <w:ind w:left="340" w:right="359"/>
        <w:spacing w:after="0" w:line="246" w:lineRule="auto"/>
        <w:rPr>
          <w:sz w:val="20"/>
          <w:szCs w:val="20"/>
          <w:color w:val="auto"/>
        </w:rPr>
      </w:pPr>
      <w:r>
        <w:rPr>
          <w:rFonts w:ascii="Times New Roman" w:cs="Times New Roman" w:eastAsia="Times New Roman" w:hAnsi="Times New Roman"/>
          <w:sz w:val="14"/>
          <w:szCs w:val="14"/>
          <w:color w:val="auto"/>
        </w:rPr>
        <w:t>In connection with this opinion, we have examined originals, or copies certified or otherwise identified to our satisfaction, of such corporate records, certificates of corporate officers and government officials and such other documents as we have deemed necessary or appropriate for the purposes of this opinion, including: (i) the Certificate of Incorporation of Shell Finance US; (ii) the By-Laws of Shell Finance US; (iii) resolutions adopted by the board of directors of Shell Finance US on October 23, 2025; (iv) the Registration Statement; (v) the Indenture, dated as of October 8, 2024, among Shell Finance US, Shell and the Trustee; and (vi) the form of the Exchange Notes included in the Registration Statement as Exhibit 4.3. As to various questions of fact material to this opinion, we have relied upon representations of officers or directors of Shell and Shell Finance US and documents furnished to us by Shell and Shell Finance US without independent verification of their accuracy. We have also assumed the genuineness of all signatures, the authenticity of all documents submitted to us as originals and the conformity to authentic original documents of all documents submitted to us as copies.</w:t>
      </w:r>
    </w:p>
    <w:p>
      <w:pPr>
        <w:spacing w:after="0" w:line="147" w:lineRule="exact"/>
        <w:rPr>
          <w:sz w:val="20"/>
          <w:szCs w:val="20"/>
          <w:color w:val="auto"/>
        </w:rPr>
      </w:pPr>
    </w:p>
    <w:p>
      <w:pPr>
        <w:jc w:val="both"/>
        <w:ind w:left="340" w:right="359"/>
        <w:spacing w:after="0" w:line="246" w:lineRule="auto"/>
        <w:rPr>
          <w:sz w:val="20"/>
          <w:szCs w:val="20"/>
          <w:color w:val="auto"/>
        </w:rPr>
      </w:pPr>
      <w:r>
        <w:rPr>
          <w:rFonts w:ascii="Times New Roman" w:cs="Times New Roman" w:eastAsia="Times New Roman" w:hAnsi="Times New Roman"/>
          <w:sz w:val="14"/>
          <w:szCs w:val="14"/>
          <w:color w:val="auto"/>
        </w:rPr>
        <w:t>Based upon and subject to the foregoing, and assuming that (i) the Registration Statement and any supplements and amendments thereto (including post-effective amendments) will be effective and will comply with all applicable laws at the time the Exchange Notes are issued as contemplated by the Registration Statement; (ii) the Trustee has been qualified to act as Trustee under the Indenture, (iii) the Trustee has duly executed and delivered the Indenture; (iv) the Indenture has been duly qualified under the Trust Indenture Act of 1939, as amended; and (v) the board of directors of Shell, a duly constituted and acting committee thereof or any officers of Shell delegated such authority has taken all necessary corporate action to approve the issuance of the Guarantees, we are of the opinion that when the Exchange Notes are duly executed and authenticated in accordance with the provisions of the Indenture and issued and delivered in exchange for Restricted Notes in the manner contemplated by the Registration Statement, the Exchange Notes will constitute valid and binding obligations of Shell Finance US and the Guarantees will constitute</w:t>
      </w:r>
    </w:p>
    <w:p>
      <w:pPr>
        <w:sectPr>
          <w:pgSz w:w="11900" w:h="16838" w:orient="portrait"/>
          <w:cols w:equalWidth="0" w:num="1">
            <w:col w:w="9019"/>
          </w:cols>
          <w:pgMar w:left="1440" w:top="123" w:right="1440" w:bottom="1440" w:gutter="0" w:footer="0" w:header="0"/>
        </w:sectPr>
      </w:pPr>
    </w:p>
    <w:bookmarkStart w:id="111" w:name="page112"/>
    <w:bookmarkEnd w:id="111"/>
    <w:p>
      <w:pPr>
        <w:jc w:val="both"/>
        <w:ind w:left="340" w:right="359"/>
        <w:spacing w:after="0" w:line="31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valid and binding obligations of Shell (in each case, subject to applicable bankruptcy, insolvency, reorganization, fraudulent conveyance, moratorium or other similar laws affecting creditors’ rights generally from time to time in effect and subject to general principles of equity, including concepts of materiality, reasonableness, good faith and fair dealing, regardless of whether such enforceability is considered in a proceeding in equity or at law).</w:t>
      </w:r>
    </w:p>
    <w:p>
      <w:pPr>
        <w:spacing w:after="0" w:line="108" w:lineRule="exact"/>
        <w:rPr>
          <w:sz w:val="20"/>
          <w:szCs w:val="20"/>
          <w:color w:val="auto"/>
        </w:rPr>
      </w:pPr>
    </w:p>
    <w:p>
      <w:pPr>
        <w:jc w:val="both"/>
        <w:ind w:left="340" w:right="359"/>
        <w:spacing w:after="0" w:line="250" w:lineRule="auto"/>
        <w:rPr>
          <w:sz w:val="20"/>
          <w:szCs w:val="20"/>
          <w:color w:val="auto"/>
        </w:rPr>
      </w:pPr>
      <w:r>
        <w:rPr>
          <w:rFonts w:ascii="Times New Roman" w:cs="Times New Roman" w:eastAsia="Times New Roman" w:hAnsi="Times New Roman"/>
          <w:sz w:val="14"/>
          <w:szCs w:val="14"/>
          <w:color w:val="auto"/>
        </w:rPr>
        <w:t>We are admitted to practice only in the State of New York and express no opinion as to matters governed by any laws other than the laws of the State of New York, the General Corporation Law of the State of Delaware and the Federal laws of the United States of America. In particular, we do not purport to pass on any matter governed by the laws of England and Wales. With respect to all matters of English law, we note that you are being provided with the opinion, dated the date hereof, of Slaughter and May, English counsel to Shell.</w:t>
      </w:r>
    </w:p>
    <w:p>
      <w:pPr>
        <w:spacing w:after="0" w:line="145" w:lineRule="exact"/>
        <w:rPr>
          <w:sz w:val="20"/>
          <w:szCs w:val="20"/>
          <w:color w:val="auto"/>
        </w:rPr>
      </w:pPr>
    </w:p>
    <w:p>
      <w:pPr>
        <w:jc w:val="both"/>
        <w:ind w:left="340" w:right="359"/>
        <w:spacing w:after="0" w:line="250" w:lineRule="auto"/>
        <w:rPr>
          <w:sz w:val="20"/>
          <w:szCs w:val="20"/>
          <w:color w:val="auto"/>
        </w:rPr>
      </w:pPr>
      <w:r>
        <w:rPr>
          <w:rFonts w:ascii="Times New Roman" w:cs="Times New Roman" w:eastAsia="Times New Roman" w:hAnsi="Times New Roman"/>
          <w:sz w:val="14"/>
          <w:szCs w:val="14"/>
          <w:color w:val="auto"/>
        </w:rPr>
        <w:t>We are aware that we are referred to under the heading “Validity of Notes” in the prospectus forming a part of the Registration Statement. We hereby consent to such use of our name therein and the filing of this opinion as Exhibit 5.2 to the Registration Statement. In giving this consent, we do not hereby admit that we are within the category of persons whose consent is required under Section 7 of the Act or the rules and regulations of the Commission promulgated thereunder.</w:t>
      </w:r>
    </w:p>
    <w:p>
      <w:pPr>
        <w:spacing w:after="0" w:line="30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6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/s/ Cravath, Swaine &amp; Moore LLP</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Shell plc</w:t>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Shell Centre</w:t>
      </w:r>
    </w:p>
    <w:p>
      <w:pPr>
        <w:spacing w:after="0" w:line="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London, SE1 7NA</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United Kingdom</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Shell Finance US Inc.</w:t>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150 N. Dairy Ashford</w:t>
      </w:r>
    </w:p>
    <w:p>
      <w:pPr>
        <w:spacing w:after="0" w:line="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Houston, Texas 77079</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United States of America</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w:t>
      </w:r>
    </w:p>
    <w:p>
      <w:pPr>
        <w:sectPr>
          <w:pgSz w:w="11900" w:h="16838" w:orient="portrait"/>
          <w:cols w:equalWidth="0" w:num="1">
            <w:col w:w="9019"/>
          </w:cols>
          <w:pgMar w:left="1440" w:top="239" w:right="1440" w:bottom="1440" w:gutter="0" w:footer="0" w:header="0"/>
        </w:sectPr>
      </w:pPr>
    </w:p>
    <w:bookmarkStart w:id="112" w:name="page113"/>
    <w:bookmarkEnd w:id="112"/>
    <w:p>
      <w:pPr>
        <w:jc w:val="right"/>
        <w:ind w:right="35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ANNEX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Notes</w:t>
      </w:r>
    </w:p>
    <w:p>
      <w:pPr>
        <w:spacing w:after="0" w:line="17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color w:val="auto"/>
        </w:rPr>
        <w:t>1.       3.875% Guaranteed Notes due 2028</w:t>
      </w:r>
    </w:p>
    <w:p>
      <w:pPr>
        <w:spacing w:after="0" w:line="1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color w:val="auto"/>
        </w:rPr>
        <w:t>2.       6.375% Guaranteed Notes due 2038</w:t>
      </w:r>
    </w:p>
    <w:p>
      <w:pPr>
        <w:spacing w:after="0" w:line="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color w:val="auto"/>
        </w:rPr>
        <w:t>3.       5.500% Guaranteed Notes due 2040</w:t>
      </w:r>
    </w:p>
    <w:p>
      <w:pPr>
        <w:spacing w:after="0" w:line="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color w:val="auto"/>
        </w:rPr>
        <w:t>4.       5.125% Guaranteed Notes due 2041</w:t>
      </w:r>
    </w:p>
    <w:p>
      <w:pPr>
        <w:spacing w:after="0" w:line="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color w:val="auto"/>
        </w:rPr>
        <w:t>5.       3.125% Guaranteed Notes due 2049</w:t>
      </w:r>
    </w:p>
    <w:p>
      <w:pPr>
        <w:spacing w:after="0" w:line="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color w:val="auto"/>
        </w:rPr>
        <w:t>6.       3.000% Guaranteed Notes due 2051</w:t>
      </w:r>
    </w:p>
    <w:p>
      <w:pPr>
        <w:sectPr>
          <w:pgSz w:w="11900" w:h="16838" w:orient="portrait"/>
          <w:cols w:equalWidth="0" w:num="1">
            <w:col w:w="9019"/>
          </w:cols>
          <w:pgMar w:left="1440" w:top="239" w:right="1440" w:bottom="1440" w:gutter="0" w:footer="0" w:header="0"/>
        </w:sectPr>
      </w:pPr>
    </w:p>
    <w:bookmarkStart w:id="113" w:name="page114"/>
    <w:bookmarkEnd w:id="113"/>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Exhibit 22.1</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Subsidiary Guarantors and Issuers of Guaranteed Securities</w:t>
      </w:r>
    </w:p>
    <w:p>
      <w:pPr>
        <w:spacing w:after="0" w:line="170" w:lineRule="exact"/>
        <w:rPr>
          <w:sz w:val="20"/>
          <w:szCs w:val="20"/>
          <w:color w:val="auto"/>
        </w:rPr>
      </w:pPr>
    </w:p>
    <w:p>
      <w:pPr>
        <w:ind w:left="340" w:right="859"/>
        <w:spacing w:after="0" w:line="264" w:lineRule="auto"/>
        <w:rPr>
          <w:sz w:val="20"/>
          <w:szCs w:val="20"/>
          <w:color w:val="auto"/>
        </w:rPr>
      </w:pPr>
      <w:r>
        <w:rPr>
          <w:rFonts w:ascii="Times New Roman" w:cs="Times New Roman" w:eastAsia="Times New Roman" w:hAnsi="Times New Roman"/>
          <w:sz w:val="14"/>
          <w:szCs w:val="14"/>
          <w:color w:val="auto"/>
        </w:rPr>
        <w:t>Each of the following securities issued by Shell International Finance B.V., a wholly owned subsidiary of Shell plc, is unconditionally and fully guaranteed by Shell plc:</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$1,000,000,000</w:t>
            </w:r>
          </w:p>
        </w:tc>
        <w:tc>
          <w:tcPr>
            <w:tcW w:w="29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6"/>
              </w:rPr>
              <w:t>2.500% Guaranteed Notes due 2026</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$1,750,000,000</w:t>
            </w:r>
          </w:p>
        </w:tc>
        <w:tc>
          <w:tcPr>
            <w:tcW w:w="29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6"/>
              </w:rPr>
              <w:t>2.875% Guaranteed Notes due 2026</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$579,268,000</w:t>
            </w:r>
          </w:p>
        </w:tc>
        <w:tc>
          <w:tcPr>
            <w:tcW w:w="29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6"/>
              </w:rPr>
              <w:t>3.875% Guaranteed Notes due 2028</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$424,721,000</w:t>
            </w:r>
          </w:p>
        </w:tc>
        <w:tc>
          <w:tcPr>
            <w:tcW w:w="29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6"/>
              </w:rPr>
              <w:t>2.375% Guaranteed Notes due 2029</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$394,609,000</w:t>
            </w:r>
          </w:p>
        </w:tc>
        <w:tc>
          <w:tcPr>
            <w:tcW w:w="29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6"/>
              </w:rPr>
              <w:t>2.750% Guaranteed Notes due 2030</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$307,654,000</w:t>
            </w:r>
          </w:p>
        </w:tc>
        <w:tc>
          <w:tcPr>
            <w:tcW w:w="29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6"/>
              </w:rPr>
              <w:t>4.125% Guaranteed Notes due 2035</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$686,852,000</w:t>
            </w:r>
          </w:p>
        </w:tc>
        <w:tc>
          <w:tcPr>
            <w:tcW w:w="29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6"/>
              </w:rPr>
              <w:t>6.375% Guaranteed Notes due 2038</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$197,892,000</w:t>
            </w:r>
          </w:p>
        </w:tc>
        <w:tc>
          <w:tcPr>
            <w:tcW w:w="29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6"/>
              </w:rPr>
              <w:t>5.500% Guaranteed Notes due 2040</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$500,000,000</w:t>
            </w:r>
          </w:p>
        </w:tc>
        <w:tc>
          <w:tcPr>
            <w:tcW w:w="29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6"/>
              </w:rPr>
              <w:t>2.875% Guaranteed Notes due 2041</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$500,000,000</w:t>
            </w:r>
          </w:p>
        </w:tc>
        <w:tc>
          <w:tcPr>
            <w:tcW w:w="29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6"/>
              </w:rPr>
              <w:t>3.625% Guaranteed Notes due 2042</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$289,719,000</w:t>
            </w:r>
          </w:p>
        </w:tc>
        <w:tc>
          <w:tcPr>
            <w:tcW w:w="29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6"/>
              </w:rPr>
              <w:t>4.550% Guaranteed Notes due 2043</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$553,245,000</w:t>
            </w:r>
          </w:p>
        </w:tc>
        <w:tc>
          <w:tcPr>
            <w:tcW w:w="29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6"/>
              </w:rPr>
              <w:t>4.375% Guaranteed Notes due 2045</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$245,620,000</w:t>
            </w:r>
          </w:p>
        </w:tc>
        <w:tc>
          <w:tcPr>
            <w:tcW w:w="29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6"/>
              </w:rPr>
              <w:t>3.750% Guaranteed Notes due 2046</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$485,916,000</w:t>
            </w:r>
          </w:p>
        </w:tc>
        <w:tc>
          <w:tcPr>
            <w:tcW w:w="29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6"/>
              </w:rPr>
              <w:t>4.000% Guaranteed Notes due 2046</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$256,286,000</w:t>
            </w:r>
          </w:p>
        </w:tc>
        <w:tc>
          <w:tcPr>
            <w:tcW w:w="29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6"/>
              </w:rPr>
              <w:t>3.125% Guaranteed Notes due 2049</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$335,536,000</w:t>
            </w:r>
          </w:p>
        </w:tc>
        <w:tc>
          <w:tcPr>
            <w:tcW w:w="29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6"/>
              </w:rPr>
              <w:t>3.250% Guaranteed Notes due 2050</w:t>
            </w:r>
          </w:p>
        </w:tc>
      </w:tr>
      <w:tr>
        <w:trPr>
          <w:trHeight w:val="175"/>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$123,172,000</w:t>
            </w:r>
          </w:p>
        </w:tc>
        <w:tc>
          <w:tcPr>
            <w:tcW w:w="29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6"/>
              </w:rPr>
              <w:t>3.000% Guaranteed Notes due 2051</w:t>
            </w:r>
          </w:p>
        </w:tc>
      </w:tr>
    </w:tbl>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Each of the following securities issued by Shell Finance US Inc., a wholly owned subsidiary of Shell plc, is unconditionally and fully guaranteed by</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Shell plc:</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$920,732,000</w:t>
            </w:r>
          </w:p>
        </w:tc>
        <w:tc>
          <w:tcPr>
            <w:tcW w:w="136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7"/>
              </w:rPr>
              <w:t>3.875%</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Notes due 2028</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$1,075,279,000</w:t>
            </w:r>
          </w:p>
        </w:tc>
        <w:tc>
          <w:tcPr>
            <w:tcW w:w="136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7"/>
              </w:rPr>
              <w:t>2.375%</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Notes due 2029</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$350,000,000</w:t>
            </w:r>
          </w:p>
        </w:tc>
        <w:tc>
          <w:tcPr>
            <w:tcW w:w="3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w w:val="96"/>
              </w:rPr>
              <w:t>Floating Rate Guaranteed Notes due 2030</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$1,000,000,000</w:t>
            </w:r>
          </w:p>
        </w:tc>
        <w:tc>
          <w:tcPr>
            <w:tcW w:w="136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7"/>
              </w:rPr>
              <w:t>4.125%</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 Notes due 2030</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$1,355,391,000</w:t>
            </w:r>
          </w:p>
        </w:tc>
        <w:tc>
          <w:tcPr>
            <w:tcW w:w="136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7"/>
              </w:rPr>
              <w:t>2.750%</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Notes due 2030</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$1,192,346,000</w:t>
            </w:r>
          </w:p>
        </w:tc>
        <w:tc>
          <w:tcPr>
            <w:tcW w:w="136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7"/>
              </w:rPr>
              <w:t>4.125%</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Notes due 2035</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$1,000,000,000</w:t>
            </w:r>
          </w:p>
        </w:tc>
        <w:tc>
          <w:tcPr>
            <w:tcW w:w="136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7"/>
              </w:rPr>
              <w:t>4.750%</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Notes due 2036</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$2,063,148,000</w:t>
            </w:r>
          </w:p>
        </w:tc>
        <w:tc>
          <w:tcPr>
            <w:tcW w:w="136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7"/>
              </w:rPr>
              <w:t>6.375%</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Notes due 2038</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$820,108,000</w:t>
            </w:r>
          </w:p>
        </w:tc>
        <w:tc>
          <w:tcPr>
            <w:tcW w:w="136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7"/>
              </w:rPr>
              <w:t>5.500%</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Notes due 2040</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$691,199,000</w:t>
            </w:r>
          </w:p>
        </w:tc>
        <w:tc>
          <w:tcPr>
            <w:tcW w:w="136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7"/>
              </w:rPr>
              <w:t>5.125%</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Notes due 2041</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$960,281,000</w:t>
            </w:r>
          </w:p>
        </w:tc>
        <w:tc>
          <w:tcPr>
            <w:tcW w:w="136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7"/>
              </w:rPr>
              <w:t>4.550%</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Notes due 2043</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$2,446,755,000</w:t>
            </w:r>
          </w:p>
        </w:tc>
        <w:tc>
          <w:tcPr>
            <w:tcW w:w="136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7"/>
              </w:rPr>
              <w:t>4.375%</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Notes due 2045</w:t>
            </w:r>
          </w:p>
        </w:tc>
      </w:tr>
      <w:tr>
        <w:trPr>
          <w:trHeight w:val="175"/>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$1,004,380,000</w:t>
            </w:r>
          </w:p>
        </w:tc>
        <w:tc>
          <w:tcPr>
            <w:tcW w:w="136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7"/>
              </w:rPr>
              <w:t>3.750%</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Notes due 2046</w:t>
            </w:r>
          </w:p>
        </w:tc>
      </w:tr>
    </w:tbl>
    <w:p>
      <w:pPr>
        <w:sectPr>
          <w:pgSz w:w="11900" w:h="16838" w:orient="portrait"/>
          <w:cols w:equalWidth="0" w:num="1">
            <w:col w:w="9019"/>
          </w:cols>
          <w:pgMar w:left="1440" w:top="123" w:right="1440" w:bottom="1440" w:gutter="0" w:footer="0" w:header="0"/>
        </w:sectPr>
      </w:pPr>
    </w:p>
    <w:bookmarkStart w:id="114" w:name="page115"/>
    <w:bookmarkEnd w:id="1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7204075" cy="31750"/>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$1,764,084,000</w:t>
            </w:r>
          </w:p>
        </w:tc>
        <w:tc>
          <w:tcPr>
            <w:tcW w:w="29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6"/>
              </w:rPr>
              <w:t>4.000% Guaranteed Notes due 2046</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$993,714,000</w:t>
            </w:r>
          </w:p>
        </w:tc>
        <w:tc>
          <w:tcPr>
            <w:tcW w:w="29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6"/>
              </w:rPr>
              <w:t>3.125% Guaranteed Notes due 2049</w:t>
            </w:r>
          </w:p>
        </w:tc>
      </w:tr>
      <w:tr>
        <w:trPr>
          <w:trHeight w:val="16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$1,664,464,000</w:t>
            </w:r>
          </w:p>
        </w:tc>
        <w:tc>
          <w:tcPr>
            <w:tcW w:w="29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6"/>
              </w:rPr>
              <w:t>3.250% Guaranteed Notes due 2050</w:t>
            </w:r>
          </w:p>
        </w:tc>
      </w:tr>
      <w:tr>
        <w:trPr>
          <w:trHeight w:val="175"/>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$876,828,000</w:t>
            </w:r>
          </w:p>
        </w:tc>
        <w:tc>
          <w:tcPr>
            <w:tcW w:w="290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6"/>
              </w:rPr>
              <w:t>3.000% Guaranteed Notes due 2051</w:t>
            </w:r>
          </w:p>
        </w:tc>
      </w:tr>
    </w:tbl>
    <w:p>
      <w:pPr>
        <w:sectPr>
          <w:pgSz w:w="11900" w:h="16838" w:orient="portrait"/>
          <w:cols w:equalWidth="0" w:num="1">
            <w:col w:w="9019"/>
          </w:cols>
          <w:pgMar w:left="1440" w:top="239" w:right="1440" w:bottom="1440" w:gutter="0" w:footer="0" w:header="0"/>
        </w:sectPr>
      </w:pPr>
    </w:p>
    <w:bookmarkStart w:id="115" w:name="page116"/>
    <w:bookmarkEnd w:id="115"/>
    <w:p>
      <w:pPr>
        <w:jc w:val="right"/>
        <w:ind w:right="359"/>
        <w:spacing w:after="0"/>
        <w:rPr>
          <w:sz w:val="20"/>
          <w:szCs w:val="20"/>
          <w:color w:val="auto"/>
        </w:rPr>
      </w:pPr>
      <w:r>
        <w:rPr>
          <w:rFonts w:ascii="Arial" w:cs="Arial" w:eastAsia="Arial" w:hAnsi="Arial"/>
          <w:sz w:val="14"/>
          <w:szCs w:val="14"/>
          <w:b w:val="1"/>
          <w:bCs w:val="1"/>
          <w:color w:val="auto"/>
        </w:rPr>
        <w:t>Exhibit 23.1</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57" w:lineRule="exact"/>
        <w:rPr>
          <w:sz w:val="20"/>
          <w:szCs w:val="20"/>
          <w:color w:val="auto"/>
        </w:rPr>
      </w:pPr>
    </w:p>
    <w:p>
      <w:pPr>
        <w:ind w:left="340" w:right="479"/>
        <w:spacing w:after="0" w:line="235" w:lineRule="auto"/>
        <w:rPr>
          <w:sz w:val="20"/>
          <w:szCs w:val="20"/>
          <w:color w:val="auto"/>
        </w:rPr>
      </w:pPr>
      <w:r>
        <w:rPr>
          <w:rFonts w:ascii="Arial" w:cs="Arial" w:eastAsia="Arial" w:hAnsi="Arial"/>
          <w:sz w:val="14"/>
          <w:szCs w:val="14"/>
          <w:color w:val="auto"/>
        </w:rPr>
        <w:t>We consent to the reference to our firm under the caption “Experts” in this Registration Statement (Form F-4) and related Prospectus of Shell plc and Shell Finance US Inc. for the registration of the exchange of debt securities and to the incorporation by reference therein of our reports dated March 11, 2026, with respect to the consolidated financial statements of Shell plc and the effectiveness of internal control over financial reporting of Shell plc included in its Annual Report on Form 20-F for the year ended December 31, 2025, filed with the Securities and Exchange Commission.</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 Ernst &amp; Young LLP</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London, United Kingdom</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May 22, 2026</w:t>
      </w:r>
    </w:p>
    <w:p>
      <w:pPr>
        <w:sectPr>
          <w:pgSz w:w="11900" w:h="16838" w:orient="portrait"/>
          <w:cols w:equalWidth="0" w:num="1">
            <w:col w:w="9019"/>
          </w:cols>
          <w:pgMar w:left="1440" w:top="125" w:right="1440" w:bottom="1440" w:gutter="0" w:footer="0" w:header="0"/>
        </w:sectPr>
      </w:pPr>
    </w:p>
    <w:bookmarkStart w:id="116" w:name="page117"/>
    <w:bookmarkEnd w:id="116"/>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Exhibit 24.1</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0" w:lineRule="exact"/>
        <w:rPr>
          <w:sz w:val="20"/>
          <w:szCs w:val="20"/>
          <w:color w:val="auto"/>
        </w:rPr>
      </w:pPr>
    </w:p>
    <w:p>
      <w:pPr>
        <w:ind w:left="340" w:right="359" w:firstLine="333"/>
        <w:spacing w:after="0" w:line="292" w:lineRule="auto"/>
        <w:rPr>
          <w:sz w:val="20"/>
          <w:szCs w:val="20"/>
          <w:color w:val="auto"/>
        </w:rPr>
      </w:pPr>
      <w:r>
        <w:rPr>
          <w:rFonts w:ascii="Times New Roman" w:cs="Times New Roman" w:eastAsia="Times New Roman" w:hAnsi="Times New Roman"/>
          <w:sz w:val="12"/>
          <w:szCs w:val="12"/>
          <w:color w:val="auto"/>
        </w:rPr>
        <w:t>KNOW ALL PERSONS BY THESE PRESENTS, that each person whose signature appears below hereby constitutes and appoints Sinead Gorman as such person’s true and lawful attorney-in-fact and agent, with full power of substitution and resubstitution, for such person and in such person’s name, place and stead, in any and all capacities, to sign and file with the Securities and Exchange Commission this registration statement on Form F-4, any and all amendments and post-effective amendments to this registration statement and any subsequent registration statement filed pursuant to Rule 462 of the Securities Act of 1933, as amended, and to file the same, with all respective exhibits thereto and any and all other documents in connection therewith, granting unto said attorney-in-fact and agent full power and authority to do and perform each and every act and thing requisite and necessary to be done in and about the premises, as fully to all intents and purposes as might or could do in person, hereby ratifying and confirming all that said attorney-in-fact and agent, or any substitutes therefor, may lawfully do or cause to be done by virtue hereof. This Power of Attorney may be executed in multiple counterparts, each of which will be deemed an original, but which taken together, shall constitute one instrument.</w:t>
      </w:r>
    </w:p>
    <w:p>
      <w:pPr>
        <w:spacing w:after="0" w:line="289" w:lineRule="exact"/>
        <w:rPr>
          <w:sz w:val="20"/>
          <w:szCs w:val="20"/>
          <w:color w:val="auto"/>
        </w:rPr>
      </w:pPr>
    </w:p>
    <w:p>
      <w:pPr>
        <w:ind w:left="340" w:right="379" w:firstLine="333"/>
        <w:spacing w:after="0" w:line="264"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Power of Attorney has been signed below by the following persons in the capacities and on the dates indicated.</w:t>
      </w:r>
    </w:p>
    <w:p>
      <w:pPr>
        <w:sectPr>
          <w:pgSz w:w="11900" w:h="16838" w:orient="portrait"/>
          <w:cols w:equalWidth="0" w:num="1">
            <w:col w:w="9019"/>
          </w:cols>
          <w:pgMar w:left="1440" w:top="123" w:right="1440" w:bottom="1440" w:gutter="0" w:footer="0" w:header="0"/>
        </w:sectPr>
      </w:pPr>
    </w:p>
    <w:p>
      <w:pPr>
        <w:spacing w:after="0" w:line="344"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1"/>
          <w:szCs w:val="11"/>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9525</wp:posOffset>
            </wp:positionV>
            <wp:extent cx="179451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1794510" cy="6350"/>
                    </a:xfrm>
                    <a:prstGeom prst="rect">
                      <a:avLst/>
                    </a:prstGeom>
                    <a:noFill/>
                  </pic:spPr>
                </pic:pic>
              </a:graphicData>
            </a:graphic>
          </wp:anchor>
        </w:drawing>
      </w:r>
    </w:p>
    <w:p>
      <w:pPr>
        <w:spacing w:after="0" w:line="14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2"/>
          <w:szCs w:val="12"/>
          <w:color w:val="auto"/>
        </w:rPr>
        <w:t>/s/ Sir Andrew Mackenzie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24130</wp:posOffset>
            </wp:positionV>
            <wp:extent cx="179451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1794510" cy="6350"/>
                    </a:xfrm>
                    <a:prstGeom prst="rect">
                      <a:avLst/>
                    </a:prstGeom>
                    <a:noFill/>
                  </pic:spPr>
                </pic:pic>
              </a:graphicData>
            </a:graphic>
          </wp:anchor>
        </w:drawing>
      </w:r>
    </w:p>
    <w:p>
      <w:pPr>
        <w:spacing w:after="0" w:line="2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Sir Andrew Mackenzie</w:t>
      </w:r>
    </w:p>
    <w:p>
      <w:pPr>
        <w:spacing w:after="0" w:line="16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/s/ Dick Boer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9525</wp:posOffset>
            </wp:positionV>
            <wp:extent cx="179451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1794510" cy="6350"/>
                    </a:xfrm>
                    <a:prstGeom prst="rect">
                      <a:avLst/>
                    </a:prstGeom>
                    <a:noFill/>
                  </pic:spPr>
                </pic:pic>
              </a:graphicData>
            </a:graphic>
          </wp:anchor>
        </w:drawing>
      </w:r>
    </w:p>
    <w:p>
      <w:pPr>
        <w:spacing w:after="0" w:line="3"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Dick Boer</w:t>
      </w:r>
    </w:p>
    <w:p>
      <w:pPr>
        <w:spacing w:after="0" w:line="16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/s/ Wael Sawan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9525</wp:posOffset>
            </wp:positionV>
            <wp:extent cx="179451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1794510" cy="6350"/>
                    </a:xfrm>
                    <a:prstGeom prst="rect">
                      <a:avLst/>
                    </a:prstGeom>
                    <a:noFill/>
                  </pic:spPr>
                </pic:pic>
              </a:graphicData>
            </a:graphic>
          </wp:anchor>
        </w:drawing>
      </w:r>
    </w:p>
    <w:p>
      <w:pPr>
        <w:spacing w:after="0" w:line="3"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Wael Sawan</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9525</wp:posOffset>
            </wp:positionV>
            <wp:extent cx="179451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1794510" cy="6350"/>
                    </a:xfrm>
                    <a:prstGeom prst="rect">
                      <a:avLst/>
                    </a:prstGeom>
                    <a:noFill/>
                  </pic:spPr>
                </pic:pic>
              </a:graphicData>
            </a:graphic>
          </wp:anchor>
        </w:drawing>
      </w:r>
    </w:p>
    <w:p>
      <w:pPr>
        <w:spacing w:after="0" w:line="74"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Sinead Gorman</w:t>
      </w:r>
    </w:p>
    <w:p>
      <w:pPr>
        <w:spacing w:after="0" w:line="24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/s/ Ann Godbehere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9525</wp:posOffset>
            </wp:positionV>
            <wp:extent cx="179451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1794510" cy="6350"/>
                    </a:xfrm>
                    <a:prstGeom prst="rect">
                      <a:avLst/>
                    </a:prstGeom>
                    <a:noFill/>
                  </pic:spPr>
                </pic:pic>
              </a:graphicData>
            </a:graphic>
          </wp:anchor>
        </w:drawing>
      </w:r>
    </w:p>
    <w:p>
      <w:pPr>
        <w:spacing w:after="0" w:line="3"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Ann Godbehere</w:t>
      </w:r>
    </w:p>
    <w:p>
      <w:pPr>
        <w:spacing w:after="0" w:line="16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/s/ Holly Keller Koeppel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9525</wp:posOffset>
            </wp:positionV>
            <wp:extent cx="179451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1794510" cy="6350"/>
                    </a:xfrm>
                    <a:prstGeom prst="rect">
                      <a:avLst/>
                    </a:prstGeom>
                    <a:noFill/>
                  </pic:spPr>
                </pic:pic>
              </a:graphicData>
            </a:graphic>
          </wp:anchor>
        </w:drawing>
      </w:r>
    </w:p>
    <w:p>
      <w:pPr>
        <w:spacing w:after="0" w:line="3"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Holly Keller Koeppel</w:t>
      </w:r>
    </w:p>
    <w:p>
      <w:pPr>
        <w:spacing w:after="0" w:line="16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/s/ Jane Holl Lute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9525</wp:posOffset>
            </wp:positionV>
            <wp:extent cx="179451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1794510" cy="6350"/>
                    </a:xfrm>
                    <a:prstGeom prst="rect">
                      <a:avLst/>
                    </a:prstGeom>
                    <a:noFill/>
                  </pic:spPr>
                </pic:pic>
              </a:graphicData>
            </a:graphic>
          </wp:anchor>
        </w:drawing>
      </w:r>
    </w:p>
    <w:p>
      <w:pPr>
        <w:spacing w:after="0" w:line="3"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Jane Holl Lute</w:t>
      </w:r>
    </w:p>
    <w:p>
      <w:pPr>
        <w:spacing w:after="0" w:line="16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/s/ Sir Charles Roxburgh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9525</wp:posOffset>
            </wp:positionV>
            <wp:extent cx="179451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1794510" cy="6350"/>
                    </a:xfrm>
                    <a:prstGeom prst="rect">
                      <a:avLst/>
                    </a:prstGeom>
                    <a:noFill/>
                  </pic:spPr>
                </pic:pic>
              </a:graphicData>
            </a:graphic>
          </wp:anchor>
        </w:drawing>
      </w:r>
    </w:p>
    <w:p>
      <w:pPr>
        <w:spacing w:after="0" w:line="3"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Sir Charles Roxburgh</w:t>
      </w:r>
    </w:p>
    <w:p>
      <w:pPr>
        <w:spacing w:after="0" w:line="16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/s/ Clare Scherrer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9525</wp:posOffset>
            </wp:positionV>
            <wp:extent cx="179451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1794510" cy="6350"/>
                    </a:xfrm>
                    <a:prstGeom prst="rect">
                      <a:avLst/>
                    </a:prstGeom>
                    <a:noFill/>
                  </pic:spPr>
                </pic:pic>
              </a:graphicData>
            </a:graphic>
          </wp:anchor>
        </w:drawing>
      </w:r>
    </w:p>
    <w:p>
      <w:pPr>
        <w:spacing w:after="0" w:line="3"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Clare Scherrer</w:t>
      </w:r>
    </w:p>
    <w:p>
      <w:pPr>
        <w:spacing w:after="0" w:line="16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/s/ Abraham Schot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9525</wp:posOffset>
            </wp:positionV>
            <wp:extent cx="179451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1794510" cy="6350"/>
                    </a:xfrm>
                    <a:prstGeom prst="rect">
                      <a:avLst/>
                    </a:prstGeom>
                    <a:noFill/>
                  </pic:spPr>
                </pic:pic>
              </a:graphicData>
            </a:graphic>
          </wp:anchor>
        </w:drawing>
      </w:r>
    </w:p>
    <w:p>
      <w:pPr>
        <w:spacing w:after="0" w:line="3"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Abraham Schot</w:t>
      </w:r>
    </w:p>
    <w:p>
      <w:pPr>
        <w:spacing w:after="0" w:line="16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/s/ Leena Srivastava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9525</wp:posOffset>
            </wp:positionV>
            <wp:extent cx="179451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1794510" cy="6350"/>
                    </a:xfrm>
                    <a:prstGeom prst="rect">
                      <a:avLst/>
                    </a:prstGeom>
                    <a:noFill/>
                  </pic:spPr>
                </pic:pic>
              </a:graphicData>
            </a:graphic>
          </wp:anchor>
        </w:drawing>
      </w:r>
    </w:p>
    <w:p>
      <w:pPr>
        <w:spacing w:after="0" w:line="3"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Leena Srivastava</w:t>
      </w:r>
    </w:p>
    <w:p>
      <w:pPr>
        <w:spacing w:after="0" w:line="16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/s/ Cyrus Taraporevala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9525</wp:posOffset>
            </wp:positionV>
            <wp:extent cx="179451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1794510" cy="6350"/>
                    </a:xfrm>
                    <a:prstGeom prst="rect">
                      <a:avLst/>
                    </a:prstGeom>
                    <a:noFill/>
                  </pic:spPr>
                </pic:pic>
              </a:graphicData>
            </a:graphic>
          </wp:anchor>
        </w:drawing>
      </w:r>
    </w:p>
    <w:p>
      <w:pPr>
        <w:spacing w:after="0" w:line="3"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Cyrus Taraporevala</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1"/>
          <w:szCs w:val="11"/>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9525</wp:posOffset>
            </wp:positionV>
            <wp:extent cx="1691005"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1691005" cy="6350"/>
                    </a:xfrm>
                    <a:prstGeom prst="rect">
                      <a:avLst/>
                    </a:prstGeom>
                    <a:noFill/>
                  </pic:spPr>
                </pic:pic>
              </a:graphicData>
            </a:graphic>
          </wp:anchor>
        </w:drawing>
      </w:r>
    </w:p>
    <w:p>
      <w:pPr>
        <w:spacing w:after="0" w:line="23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Chair</w:t>
      </w:r>
    </w:p>
    <w:p>
      <w:pPr>
        <w:spacing w:after="0" w:line="25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4"/>
          <w:szCs w:val="14"/>
          <w:color w:val="auto"/>
        </w:rPr>
        <w:t>Deputy Chair and</w:t>
      </w:r>
    </w:p>
    <w:p>
      <w:pPr>
        <w:spacing w:after="0" w:line="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Senior Independent Non-executive Director</w:t>
      </w:r>
    </w:p>
    <w:p>
      <w:pPr>
        <w:spacing w:after="0" w:line="19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7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4"/>
          <w:szCs w:val="14"/>
          <w:color w:val="auto"/>
        </w:rPr>
        <w:t>Principal Accounting Officer)</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Non-executive Director</w:t>
      </w:r>
    </w:p>
    <w:p>
      <w:pPr>
        <w:spacing w:after="0" w:line="3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Non-executive Director</w:t>
      </w:r>
    </w:p>
    <w:p>
      <w:pPr>
        <w:spacing w:after="0" w:line="3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Non-executive Director</w:t>
      </w:r>
    </w:p>
    <w:p>
      <w:pPr>
        <w:spacing w:after="0" w:line="3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Non-executive Director</w:t>
      </w:r>
    </w:p>
    <w:p>
      <w:pPr>
        <w:spacing w:after="0" w:line="3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Non-executive Director</w:t>
      </w:r>
    </w:p>
    <w:p>
      <w:pPr>
        <w:spacing w:after="0" w:line="3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Non-executive Director</w:t>
      </w:r>
    </w:p>
    <w:p>
      <w:pPr>
        <w:spacing w:after="0" w:line="3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Non-executive Director</w:t>
      </w:r>
    </w:p>
    <w:p>
      <w:pPr>
        <w:spacing w:after="0" w:line="3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Non-executive Director</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ind w:right="1299"/>
        <w:spacing w:after="0"/>
        <w:rPr>
          <w:sz w:val="20"/>
          <w:szCs w:val="20"/>
          <w:color w:val="auto"/>
        </w:rPr>
      </w:pPr>
      <w:r>
        <w:rPr>
          <w:rFonts w:ascii="Times New Roman" w:cs="Times New Roman" w:eastAsia="Times New Roman" w:hAnsi="Times New Roman"/>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9525</wp:posOffset>
            </wp:positionV>
            <wp:extent cx="169100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1691005" cy="6350"/>
                    </a:xfrm>
                    <a:prstGeom prst="rect">
                      <a:avLst/>
                    </a:prstGeom>
                    <a:noFill/>
                  </pic:spPr>
                </pic:pic>
              </a:graphicData>
            </a:graphic>
          </wp:anchor>
        </w:drawing>
      </w:r>
    </w:p>
    <w:p>
      <w:pPr>
        <w:spacing w:after="0" w:line="237" w:lineRule="exact"/>
        <w:rPr>
          <w:sz w:val="20"/>
          <w:szCs w:val="20"/>
          <w:color w:val="auto"/>
        </w:rPr>
      </w:pPr>
    </w:p>
    <w:p>
      <w:pPr>
        <w:jc w:val="center"/>
        <w:ind w:right="1299"/>
        <w:spacing w:after="0"/>
        <w:rPr>
          <w:sz w:val="20"/>
          <w:szCs w:val="20"/>
          <w:color w:val="auto"/>
        </w:rPr>
      </w:pPr>
      <w:r>
        <w:rPr>
          <w:rFonts w:ascii="Times New Roman" w:cs="Times New Roman" w:eastAsia="Times New Roman" w:hAnsi="Times New Roman"/>
          <w:sz w:val="12"/>
          <w:szCs w:val="12"/>
          <w:color w:val="auto"/>
        </w:rPr>
        <w:t>May 13, 2026</w:t>
      </w:r>
    </w:p>
    <w:p>
      <w:pPr>
        <w:spacing w:after="0" w:line="362" w:lineRule="exact"/>
        <w:rPr>
          <w:sz w:val="20"/>
          <w:szCs w:val="20"/>
          <w:color w:val="auto"/>
        </w:rPr>
      </w:pPr>
    </w:p>
    <w:p>
      <w:pPr>
        <w:jc w:val="center"/>
        <w:ind w:right="1299"/>
        <w:spacing w:after="0"/>
        <w:rPr>
          <w:sz w:val="20"/>
          <w:szCs w:val="20"/>
          <w:color w:val="auto"/>
        </w:rPr>
      </w:pPr>
      <w:r>
        <w:rPr>
          <w:rFonts w:ascii="Times New Roman" w:cs="Times New Roman" w:eastAsia="Times New Roman" w:hAnsi="Times New Roman"/>
          <w:sz w:val="12"/>
          <w:szCs w:val="12"/>
          <w:color w:val="auto"/>
        </w:rPr>
        <w:t>May 13, 2026</w:t>
      </w:r>
    </w:p>
    <w:p>
      <w:pPr>
        <w:spacing w:after="0" w:line="372" w:lineRule="exact"/>
        <w:rPr>
          <w:sz w:val="20"/>
          <w:szCs w:val="20"/>
          <w:color w:val="auto"/>
        </w:rPr>
      </w:pPr>
    </w:p>
    <w:p>
      <w:pPr>
        <w:jc w:val="center"/>
        <w:ind w:right="1299"/>
        <w:spacing w:after="0"/>
        <w:rPr>
          <w:sz w:val="20"/>
          <w:szCs w:val="20"/>
          <w:color w:val="auto"/>
        </w:rPr>
      </w:pPr>
      <w:r>
        <w:rPr>
          <w:rFonts w:ascii="Times New Roman" w:cs="Times New Roman" w:eastAsia="Times New Roman" w:hAnsi="Times New Roman"/>
          <w:sz w:val="12"/>
          <w:szCs w:val="12"/>
          <w:color w:val="auto"/>
        </w:rPr>
        <w:t>May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299"/>
        <w:spacing w:after="0"/>
        <w:rPr>
          <w:sz w:val="20"/>
          <w:szCs w:val="20"/>
          <w:color w:val="auto"/>
        </w:rPr>
      </w:pPr>
      <w:r>
        <w:rPr>
          <w:rFonts w:ascii="Times New Roman" w:cs="Times New Roman" w:eastAsia="Times New Roman" w:hAnsi="Times New Roman"/>
          <w:sz w:val="12"/>
          <w:szCs w:val="12"/>
          <w:color w:val="auto"/>
        </w:rPr>
        <w:t>May 17, 2026</w:t>
      </w:r>
    </w:p>
    <w:p>
      <w:pPr>
        <w:spacing w:after="0" w:line="372" w:lineRule="exact"/>
        <w:rPr>
          <w:sz w:val="20"/>
          <w:szCs w:val="20"/>
          <w:color w:val="auto"/>
        </w:rPr>
      </w:pPr>
    </w:p>
    <w:p>
      <w:pPr>
        <w:jc w:val="center"/>
        <w:ind w:right="1299"/>
        <w:spacing w:after="0"/>
        <w:rPr>
          <w:sz w:val="20"/>
          <w:szCs w:val="20"/>
          <w:color w:val="auto"/>
        </w:rPr>
      </w:pPr>
      <w:r>
        <w:rPr>
          <w:rFonts w:ascii="Times New Roman" w:cs="Times New Roman" w:eastAsia="Times New Roman" w:hAnsi="Times New Roman"/>
          <w:sz w:val="12"/>
          <w:szCs w:val="12"/>
          <w:color w:val="auto"/>
        </w:rPr>
        <w:t>May 13, 2026</w:t>
      </w:r>
    </w:p>
    <w:p>
      <w:pPr>
        <w:spacing w:after="0" w:line="372" w:lineRule="exact"/>
        <w:rPr>
          <w:sz w:val="20"/>
          <w:szCs w:val="20"/>
          <w:color w:val="auto"/>
        </w:rPr>
      </w:pPr>
    </w:p>
    <w:p>
      <w:pPr>
        <w:jc w:val="center"/>
        <w:ind w:right="1299"/>
        <w:spacing w:after="0"/>
        <w:rPr>
          <w:sz w:val="20"/>
          <w:szCs w:val="20"/>
          <w:color w:val="auto"/>
        </w:rPr>
      </w:pPr>
      <w:r>
        <w:rPr>
          <w:rFonts w:ascii="Times New Roman" w:cs="Times New Roman" w:eastAsia="Times New Roman" w:hAnsi="Times New Roman"/>
          <w:sz w:val="12"/>
          <w:szCs w:val="12"/>
          <w:color w:val="auto"/>
        </w:rPr>
        <w:t>May 19, 2026</w:t>
      </w:r>
    </w:p>
    <w:p>
      <w:pPr>
        <w:spacing w:after="0" w:line="372" w:lineRule="exact"/>
        <w:rPr>
          <w:sz w:val="20"/>
          <w:szCs w:val="20"/>
          <w:color w:val="auto"/>
        </w:rPr>
      </w:pPr>
    </w:p>
    <w:p>
      <w:pPr>
        <w:jc w:val="center"/>
        <w:ind w:right="1299"/>
        <w:spacing w:after="0"/>
        <w:rPr>
          <w:sz w:val="20"/>
          <w:szCs w:val="20"/>
          <w:color w:val="auto"/>
        </w:rPr>
      </w:pPr>
      <w:r>
        <w:rPr>
          <w:rFonts w:ascii="Times New Roman" w:cs="Times New Roman" w:eastAsia="Times New Roman" w:hAnsi="Times New Roman"/>
          <w:sz w:val="12"/>
          <w:szCs w:val="12"/>
          <w:color w:val="auto"/>
        </w:rPr>
        <w:t>May 18, 2026</w:t>
      </w:r>
    </w:p>
    <w:p>
      <w:pPr>
        <w:spacing w:after="0" w:line="372" w:lineRule="exact"/>
        <w:rPr>
          <w:sz w:val="20"/>
          <w:szCs w:val="20"/>
          <w:color w:val="auto"/>
        </w:rPr>
      </w:pPr>
    </w:p>
    <w:p>
      <w:pPr>
        <w:jc w:val="center"/>
        <w:ind w:right="1299"/>
        <w:spacing w:after="0"/>
        <w:rPr>
          <w:sz w:val="20"/>
          <w:szCs w:val="20"/>
          <w:color w:val="auto"/>
        </w:rPr>
      </w:pPr>
      <w:r>
        <w:rPr>
          <w:rFonts w:ascii="Times New Roman" w:cs="Times New Roman" w:eastAsia="Times New Roman" w:hAnsi="Times New Roman"/>
          <w:sz w:val="12"/>
          <w:szCs w:val="12"/>
          <w:color w:val="auto"/>
        </w:rPr>
        <w:t>May 13, 2026</w:t>
      </w:r>
    </w:p>
    <w:p>
      <w:pPr>
        <w:spacing w:after="0" w:line="372" w:lineRule="exact"/>
        <w:rPr>
          <w:sz w:val="20"/>
          <w:szCs w:val="20"/>
          <w:color w:val="auto"/>
        </w:rPr>
      </w:pPr>
    </w:p>
    <w:p>
      <w:pPr>
        <w:jc w:val="center"/>
        <w:ind w:right="1299"/>
        <w:spacing w:after="0"/>
        <w:rPr>
          <w:sz w:val="20"/>
          <w:szCs w:val="20"/>
          <w:color w:val="auto"/>
        </w:rPr>
      </w:pPr>
      <w:r>
        <w:rPr>
          <w:rFonts w:ascii="Times New Roman" w:cs="Times New Roman" w:eastAsia="Times New Roman" w:hAnsi="Times New Roman"/>
          <w:sz w:val="12"/>
          <w:szCs w:val="12"/>
          <w:color w:val="auto"/>
        </w:rPr>
        <w:t>May 20, 2026</w:t>
      </w:r>
    </w:p>
    <w:p>
      <w:pPr>
        <w:spacing w:after="0" w:line="372" w:lineRule="exact"/>
        <w:rPr>
          <w:sz w:val="20"/>
          <w:szCs w:val="20"/>
          <w:color w:val="auto"/>
        </w:rPr>
      </w:pPr>
    </w:p>
    <w:p>
      <w:pPr>
        <w:jc w:val="center"/>
        <w:ind w:right="1299"/>
        <w:spacing w:after="0"/>
        <w:rPr>
          <w:sz w:val="20"/>
          <w:szCs w:val="20"/>
          <w:color w:val="auto"/>
        </w:rPr>
      </w:pPr>
      <w:r>
        <w:rPr>
          <w:rFonts w:ascii="Times New Roman" w:cs="Times New Roman" w:eastAsia="Times New Roman" w:hAnsi="Times New Roman"/>
          <w:sz w:val="12"/>
          <w:szCs w:val="12"/>
          <w:color w:val="auto"/>
        </w:rPr>
        <w:t>May 19, 2026</w:t>
      </w:r>
    </w:p>
    <w:p>
      <w:pPr>
        <w:spacing w:after="0" w:line="291" w:lineRule="exact"/>
        <w:rPr>
          <w:sz w:val="20"/>
          <w:szCs w:val="20"/>
          <w:color w:val="auto"/>
        </w:rPr>
      </w:pPr>
    </w:p>
    <w:p>
      <w:pPr>
        <w:jc w:val="center"/>
        <w:ind w:right="1299"/>
        <w:spacing w:after="0"/>
        <w:rPr>
          <w:sz w:val="20"/>
          <w:szCs w:val="20"/>
          <w:color w:val="auto"/>
        </w:rPr>
      </w:pPr>
      <w:r>
        <w:rPr>
          <w:rFonts w:ascii="Times New Roman" w:cs="Times New Roman" w:eastAsia="Times New Roman" w:hAnsi="Times New Roman"/>
          <w:sz w:val="12"/>
          <w:szCs w:val="12"/>
          <w:color w:val="auto"/>
        </w:rPr>
        <w:t>May 14, 2026</w:t>
      </w:r>
    </w:p>
    <w:p>
      <w:pPr>
        <w:sectPr>
          <w:pgSz w:w="11900" w:h="16838" w:orient="portrait"/>
          <w:cols w:equalWidth="0" w:num="3">
            <w:col w:w="2680" w:space="720"/>
            <w:col w:w="2840" w:space="720"/>
            <w:col w:w="2059"/>
          </w:cols>
          <w:pgMar w:left="1440" w:top="123" w:right="1440" w:bottom="1440" w:gutter="0" w:footer="0" w:header="0"/>
          <w:type w:val="continuous"/>
        </w:sectPr>
      </w:pPr>
    </w:p>
    <w:bookmarkStart w:id="117" w:name="page118"/>
    <w:bookmarkEnd w:id="117"/>
    <w:p>
      <w:pPr>
        <w:jc w:val="right"/>
        <w:ind w:right="359"/>
        <w:spacing w:after="0"/>
        <w:rPr>
          <w:sz w:val="20"/>
          <w:szCs w:val="20"/>
          <w:color w:val="auto"/>
        </w:rPr>
      </w:pPr>
      <w:r>
        <w:rPr>
          <w:rFonts w:ascii="Times New Roman" w:cs="Times New Roman" w:eastAsia="Times New Roman" w:hAnsi="Times New Roman"/>
          <w:sz w:val="10"/>
          <w:szCs w:val="10"/>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60325</wp:posOffset>
            </wp:positionV>
            <wp:extent cx="5287010"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5287010" cy="12700"/>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99060</wp:posOffset>
            </wp:positionV>
            <wp:extent cx="528701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5287010" cy="6350"/>
                    </a:xfrm>
                    <a:prstGeom prst="rect">
                      <a:avLst/>
                    </a:prstGeom>
                    <a:noFill/>
                  </pic:spPr>
                </pic:pic>
              </a:graphicData>
            </a:graphic>
          </wp:anchor>
        </w:drawing>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UNITED STATES</w:t>
      </w:r>
    </w:p>
    <w:p>
      <w:pPr>
        <w:jc w:val="center"/>
        <w:ind w:right="19"/>
        <w:spacing w:after="0" w:line="212" w:lineRule="auto"/>
        <w:rPr>
          <w:sz w:val="20"/>
          <w:szCs w:val="20"/>
          <w:color w:val="auto"/>
        </w:rPr>
      </w:pPr>
      <w:r>
        <w:rPr>
          <w:rFonts w:ascii="Times New Roman" w:cs="Times New Roman" w:eastAsia="Times New Roman" w:hAnsi="Times New Roman"/>
          <w:sz w:val="10"/>
          <w:szCs w:val="10"/>
          <w:b w:val="1"/>
          <w:bCs w:val="1"/>
          <w:color w:val="auto"/>
        </w:rPr>
        <w:t>SECURITIES AND EXCHANGE COMMISSION</w:t>
      </w:r>
    </w:p>
    <w:p>
      <w:pPr>
        <w:jc w:val="center"/>
        <w:ind w:right="19"/>
        <w:spacing w:after="0" w:line="236" w:lineRule="auto"/>
        <w:rPr>
          <w:sz w:val="20"/>
          <w:szCs w:val="20"/>
          <w:color w:val="auto"/>
        </w:rPr>
      </w:pPr>
      <w:r>
        <w:rPr>
          <w:rFonts w:ascii="Times New Roman" w:cs="Times New Roman" w:eastAsia="Times New Roman" w:hAnsi="Times New Roman"/>
          <w:sz w:val="10"/>
          <w:szCs w:val="10"/>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170180</wp:posOffset>
            </wp:positionV>
            <wp:extent cx="68707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687070" cy="635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109220</wp:posOffset>
            </wp:positionV>
            <wp:extent cx="68707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687070" cy="6350"/>
                    </a:xfrm>
                    <a:prstGeom prst="rect">
                      <a:avLst/>
                    </a:prstGeom>
                    <a:noFill/>
                  </pic:spPr>
                </pic:pic>
              </a:graphicData>
            </a:graphic>
          </wp:anchor>
        </w:drawing>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STATEMENT OF ELIGIBILITY</w:t>
      </w:r>
    </w:p>
    <w:p>
      <w:pPr>
        <w:jc w:val="center"/>
        <w:ind w:right="19"/>
        <w:spacing w:after="0" w:line="212" w:lineRule="auto"/>
        <w:rPr>
          <w:sz w:val="20"/>
          <w:szCs w:val="20"/>
          <w:color w:val="auto"/>
        </w:rPr>
      </w:pPr>
      <w:r>
        <w:rPr>
          <w:rFonts w:ascii="Times New Roman" w:cs="Times New Roman" w:eastAsia="Times New Roman" w:hAnsi="Times New Roman"/>
          <w:sz w:val="10"/>
          <w:szCs w:val="10"/>
          <w:color w:val="auto"/>
        </w:rPr>
        <w:t>UNDER THE TRUST INDENTURE ACT OF 1939</w:t>
      </w:r>
    </w:p>
    <w:p>
      <w:pPr>
        <w:jc w:val="center"/>
        <w:ind w:right="19"/>
        <w:spacing w:after="0" w:line="236" w:lineRule="auto"/>
        <w:rPr>
          <w:sz w:val="20"/>
          <w:szCs w:val="20"/>
          <w:color w:val="auto"/>
        </w:rPr>
      </w:pPr>
      <w:r>
        <w:rPr>
          <w:rFonts w:ascii="Times New Roman" w:cs="Times New Roman" w:eastAsia="Times New Roman" w:hAnsi="Times New Roman"/>
          <w:sz w:val="10"/>
          <w:szCs w:val="10"/>
          <w:color w:val="auto"/>
        </w:rPr>
        <w:t>OF A CORPORATION DESIGNATED TO ACT AS TRUSTEE</w:t>
      </w:r>
    </w:p>
    <w:p>
      <w:pPr>
        <w:spacing w:after="0" w:line="153" w:lineRule="exact"/>
        <w:rPr>
          <w:sz w:val="20"/>
          <w:szCs w:val="20"/>
          <w:color w:val="auto"/>
        </w:rPr>
      </w:pPr>
    </w:p>
    <w:p>
      <w:pPr>
        <w:ind w:left="2200" w:hanging="101"/>
        <w:spacing w:after="0"/>
        <w:tabs>
          <w:tab w:leader="none" w:pos="2200" w:val="left"/>
        </w:tabs>
        <w:numPr>
          <w:ilvl w:val="0"/>
          <w:numId w:val="63"/>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175260</wp:posOffset>
            </wp:positionV>
            <wp:extent cx="94615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946150" cy="6350"/>
                    </a:xfrm>
                    <a:prstGeom prst="rect">
                      <a:avLst/>
                    </a:prstGeom>
                    <a:noFill/>
                  </pic:spPr>
                </pic:pic>
              </a:graphicData>
            </a:graphic>
          </wp:anchor>
        </w:drawing>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DEUTSCHE BANK TRUST COMPANY AMERICAS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(formerly BANKERS TRUST COMPANY)</w:t>
      </w:r>
    </w:p>
    <w:p>
      <w:pPr>
        <w:spacing w:after="0" w:line="8" w:lineRule="exact"/>
        <w:rPr>
          <w:sz w:val="20"/>
          <w:szCs w:val="20"/>
          <w:color w:val="auto"/>
        </w:rPr>
      </w:pPr>
    </w:p>
    <w:tbl>
      <w:tblPr>
        <w:tblLayout w:type="fixed"/>
        <w:tblInd w:w="340" w:type="dxa"/>
        <w:tblCellMar>
          <w:top w:w="0" w:type="dxa"/>
          <w:left w:w="0" w:type="dxa"/>
          <w:bottom w:w="0" w:type="dxa"/>
          <w:right w:w="0" w:type="dxa"/>
        </w:tblCellMar>
      </w:tblPr>
      <w:tr>
        <w:trPr>
          <w:trHeight w:val="97"/>
        </w:trPr>
        <w:tc>
          <w:tcPr>
            <w:tcW w:w="2960" w:type="dxa"/>
            <w:vAlign w:val="bottom"/>
          </w:tcPr>
          <w:p>
            <w:pPr>
              <w:spacing w:after="0"/>
              <w:rPr>
                <w:sz w:val="8"/>
                <w:szCs w:val="8"/>
                <w:color w:val="auto"/>
              </w:rPr>
            </w:pPr>
          </w:p>
        </w:tc>
        <w:tc>
          <w:tcPr>
            <w:tcW w:w="5360" w:type="dxa"/>
            <w:vAlign w:val="bottom"/>
            <w:gridSpan w:val="3"/>
          </w:tcPr>
          <w:p>
            <w:pPr>
              <w:jc w:val="center"/>
              <w:ind w:right="2892"/>
              <w:spacing w:after="0"/>
              <w:rPr>
                <w:sz w:val="20"/>
                <w:szCs w:val="20"/>
                <w:color w:val="auto"/>
              </w:rPr>
            </w:pPr>
            <w:r>
              <w:rPr>
                <w:rFonts w:ascii="Times New Roman" w:cs="Times New Roman" w:eastAsia="Times New Roman" w:hAnsi="Times New Roman"/>
                <w:sz w:val="7"/>
                <w:szCs w:val="7"/>
                <w:color w:val="auto"/>
              </w:rPr>
              <w:t>(Exact name of trustee as specified in its charter)</w:t>
            </w:r>
          </w:p>
        </w:tc>
        <w:tc>
          <w:tcPr>
            <w:tcW w:w="0" w:type="dxa"/>
            <w:vAlign w:val="bottom"/>
          </w:tcPr>
          <w:p>
            <w:pPr>
              <w:spacing w:after="0"/>
              <w:rPr>
                <w:sz w:val="1"/>
                <w:szCs w:val="1"/>
                <w:color w:val="auto"/>
              </w:rPr>
            </w:pPr>
          </w:p>
        </w:tc>
      </w:tr>
      <w:tr>
        <w:trPr>
          <w:trHeight w:val="256"/>
        </w:trPr>
        <w:tc>
          <w:tcPr>
            <w:tcW w:w="29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2960" w:type="dxa"/>
            <w:vAlign w:val="bottom"/>
          </w:tcPr>
          <w:p>
            <w:pPr>
              <w:jc w:val="center"/>
              <w:ind w:left="1212"/>
              <w:spacing w:after="0"/>
              <w:rPr>
                <w:sz w:val="20"/>
                <w:szCs w:val="20"/>
                <w:color w:val="auto"/>
              </w:rPr>
            </w:pPr>
            <w:r>
              <w:rPr>
                <w:rFonts w:ascii="Times New Roman" w:cs="Times New Roman" w:eastAsia="Times New Roman" w:hAnsi="Times New Roman"/>
                <w:sz w:val="10"/>
                <w:szCs w:val="10"/>
                <w:b w:val="1"/>
                <w:bCs w:val="1"/>
                <w:color w:val="auto"/>
                <w:w w:val="95"/>
              </w:rPr>
              <w:t>NEW YORK</w:t>
            </w:r>
          </w:p>
        </w:tc>
        <w:tc>
          <w:tcPr>
            <w:tcW w:w="5360" w:type="dxa"/>
            <w:vAlign w:val="bottom"/>
            <w:gridSpan w:val="3"/>
          </w:tcPr>
          <w:p>
            <w:pPr>
              <w:jc w:val="center"/>
              <w:ind w:left="1293"/>
              <w:spacing w:after="0"/>
              <w:rPr>
                <w:sz w:val="20"/>
                <w:szCs w:val="20"/>
                <w:color w:val="auto"/>
              </w:rPr>
            </w:pPr>
            <w:r>
              <w:rPr>
                <w:rFonts w:ascii="Times New Roman" w:cs="Times New Roman" w:eastAsia="Times New Roman" w:hAnsi="Times New Roman"/>
                <w:sz w:val="10"/>
                <w:szCs w:val="10"/>
                <w:b w:val="1"/>
                <w:bCs w:val="1"/>
                <w:color w:val="auto"/>
                <w:w w:val="95"/>
              </w:rPr>
              <w:t>13-4941247</w:t>
            </w:r>
          </w:p>
        </w:tc>
        <w:tc>
          <w:tcPr>
            <w:tcW w:w="0" w:type="dxa"/>
            <w:vAlign w:val="bottom"/>
          </w:tcPr>
          <w:p>
            <w:pPr>
              <w:spacing w:after="0"/>
              <w:rPr>
                <w:sz w:val="1"/>
                <w:szCs w:val="1"/>
                <w:color w:val="auto"/>
              </w:rPr>
            </w:pPr>
          </w:p>
        </w:tc>
      </w:tr>
      <w:tr>
        <w:trPr>
          <w:trHeight w:val="102"/>
        </w:trPr>
        <w:tc>
          <w:tcPr>
            <w:tcW w:w="2960" w:type="dxa"/>
            <w:vAlign w:val="bottom"/>
          </w:tcPr>
          <w:p>
            <w:pPr>
              <w:jc w:val="center"/>
              <w:ind w:left="1212"/>
              <w:spacing w:after="0" w:line="102" w:lineRule="exact"/>
              <w:rPr>
                <w:sz w:val="20"/>
                <w:szCs w:val="20"/>
                <w:color w:val="auto"/>
              </w:rPr>
            </w:pPr>
            <w:r>
              <w:rPr>
                <w:rFonts w:ascii="Times New Roman" w:cs="Times New Roman" w:eastAsia="Times New Roman" w:hAnsi="Times New Roman"/>
                <w:sz w:val="10"/>
                <w:szCs w:val="10"/>
                <w:color w:val="auto"/>
                <w:w w:val="94"/>
              </w:rPr>
              <w:t>(Jurisdiction of Incorporation or</w:t>
            </w:r>
          </w:p>
        </w:tc>
        <w:tc>
          <w:tcPr>
            <w:tcW w:w="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620" w:type="dxa"/>
            <w:vAlign w:val="bottom"/>
          </w:tcPr>
          <w:p>
            <w:pPr>
              <w:jc w:val="center"/>
              <w:ind w:right="352"/>
              <w:spacing w:after="0" w:line="102" w:lineRule="exact"/>
              <w:rPr>
                <w:sz w:val="20"/>
                <w:szCs w:val="20"/>
                <w:color w:val="auto"/>
              </w:rPr>
            </w:pPr>
            <w:r>
              <w:rPr>
                <w:rFonts w:ascii="Times New Roman" w:cs="Times New Roman" w:eastAsia="Times New Roman" w:hAnsi="Times New Roman"/>
                <w:sz w:val="10"/>
                <w:szCs w:val="10"/>
                <w:color w:val="auto"/>
                <w:w w:val="96"/>
              </w:rPr>
              <w:t>(I.R.S. Employer</w:t>
            </w:r>
          </w:p>
        </w:tc>
        <w:tc>
          <w:tcPr>
            <w:tcW w:w="0" w:type="dxa"/>
            <w:vAlign w:val="bottom"/>
          </w:tcPr>
          <w:p>
            <w:pPr>
              <w:spacing w:after="0"/>
              <w:rPr>
                <w:sz w:val="1"/>
                <w:szCs w:val="1"/>
                <w:color w:val="auto"/>
              </w:rPr>
            </w:pPr>
          </w:p>
        </w:tc>
      </w:tr>
      <w:tr>
        <w:trPr>
          <w:trHeight w:val="123"/>
        </w:trPr>
        <w:tc>
          <w:tcPr>
            <w:tcW w:w="2960" w:type="dxa"/>
            <w:vAlign w:val="bottom"/>
          </w:tcPr>
          <w:p>
            <w:pPr>
              <w:jc w:val="center"/>
              <w:ind w:left="1192"/>
              <w:spacing w:after="0"/>
              <w:rPr>
                <w:sz w:val="20"/>
                <w:szCs w:val="20"/>
                <w:color w:val="auto"/>
              </w:rPr>
            </w:pPr>
            <w:r>
              <w:rPr>
                <w:rFonts w:ascii="Times New Roman" w:cs="Times New Roman" w:eastAsia="Times New Roman" w:hAnsi="Times New Roman"/>
                <w:sz w:val="10"/>
                <w:szCs w:val="10"/>
                <w:color w:val="auto"/>
                <w:w w:val="94"/>
              </w:rPr>
              <w:t>organization if not a U.S. national bank)</w:t>
            </w: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20" w:type="dxa"/>
            <w:vAlign w:val="bottom"/>
          </w:tcPr>
          <w:p>
            <w:pPr>
              <w:jc w:val="center"/>
              <w:ind w:right="352"/>
              <w:spacing w:after="0"/>
              <w:rPr>
                <w:sz w:val="20"/>
                <w:szCs w:val="20"/>
                <w:color w:val="auto"/>
              </w:rPr>
            </w:pPr>
            <w:r>
              <w:rPr>
                <w:rFonts w:ascii="Times New Roman" w:cs="Times New Roman" w:eastAsia="Times New Roman" w:hAnsi="Times New Roman"/>
                <w:sz w:val="10"/>
                <w:szCs w:val="10"/>
                <w:color w:val="auto"/>
                <w:w w:val="96"/>
              </w:rPr>
              <w:t>Identification no.)</w:t>
            </w:r>
          </w:p>
        </w:tc>
        <w:tc>
          <w:tcPr>
            <w:tcW w:w="0" w:type="dxa"/>
            <w:vAlign w:val="bottom"/>
          </w:tcPr>
          <w:p>
            <w:pPr>
              <w:spacing w:after="0"/>
              <w:rPr>
                <w:sz w:val="1"/>
                <w:szCs w:val="1"/>
                <w:color w:val="auto"/>
              </w:rPr>
            </w:pPr>
          </w:p>
        </w:tc>
      </w:tr>
      <w:tr>
        <w:trPr>
          <w:trHeight w:val="242"/>
        </w:trPr>
        <w:tc>
          <w:tcPr>
            <w:tcW w:w="2960" w:type="dxa"/>
            <w:vAlign w:val="bottom"/>
          </w:tcPr>
          <w:p>
            <w:pPr>
              <w:jc w:val="center"/>
              <w:ind w:left="1212"/>
              <w:spacing w:after="0"/>
              <w:rPr>
                <w:sz w:val="20"/>
                <w:szCs w:val="20"/>
                <w:color w:val="auto"/>
              </w:rPr>
            </w:pPr>
            <w:r>
              <w:rPr>
                <w:rFonts w:ascii="Times New Roman" w:cs="Times New Roman" w:eastAsia="Times New Roman" w:hAnsi="Times New Roman"/>
                <w:sz w:val="10"/>
                <w:szCs w:val="10"/>
                <w:b w:val="1"/>
                <w:bCs w:val="1"/>
                <w:color w:val="auto"/>
                <w:w w:val="95"/>
              </w:rPr>
              <w:t>1 COLUMBUS CIRCLE</w:t>
            </w: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960" w:type="dxa"/>
            <w:vAlign w:val="bottom"/>
          </w:tcPr>
          <w:p>
            <w:pPr>
              <w:jc w:val="center"/>
              <w:ind w:left="1192"/>
              <w:spacing w:after="0" w:line="104" w:lineRule="exact"/>
              <w:rPr>
                <w:sz w:val="20"/>
                <w:szCs w:val="20"/>
                <w:color w:val="auto"/>
              </w:rPr>
            </w:pPr>
            <w:r>
              <w:rPr>
                <w:rFonts w:ascii="Times New Roman" w:cs="Times New Roman" w:eastAsia="Times New Roman" w:hAnsi="Times New Roman"/>
                <w:sz w:val="10"/>
                <w:szCs w:val="10"/>
                <w:b w:val="1"/>
                <w:bCs w:val="1"/>
                <w:color w:val="auto"/>
                <w:w w:val="95"/>
              </w:rPr>
              <w:t>NEW YORK, NEW YORK</w:t>
            </w:r>
          </w:p>
        </w:tc>
        <w:tc>
          <w:tcPr>
            <w:tcW w:w="5360" w:type="dxa"/>
            <w:vAlign w:val="bottom"/>
            <w:gridSpan w:val="3"/>
          </w:tcPr>
          <w:p>
            <w:pPr>
              <w:jc w:val="center"/>
              <w:ind w:left="1273"/>
              <w:spacing w:after="0" w:line="104" w:lineRule="exact"/>
              <w:rPr>
                <w:sz w:val="20"/>
                <w:szCs w:val="20"/>
                <w:color w:val="auto"/>
              </w:rPr>
            </w:pPr>
            <w:r>
              <w:rPr>
                <w:rFonts w:ascii="Times New Roman" w:cs="Times New Roman" w:eastAsia="Times New Roman" w:hAnsi="Times New Roman"/>
                <w:sz w:val="10"/>
                <w:szCs w:val="10"/>
                <w:b w:val="1"/>
                <w:bCs w:val="1"/>
                <w:color w:val="auto"/>
                <w:w w:val="95"/>
              </w:rPr>
              <w:t>10019</w:t>
            </w:r>
          </w:p>
        </w:tc>
        <w:tc>
          <w:tcPr>
            <w:tcW w:w="0" w:type="dxa"/>
            <w:vAlign w:val="bottom"/>
          </w:tcPr>
          <w:p>
            <w:pPr>
              <w:spacing w:after="0"/>
              <w:rPr>
                <w:sz w:val="1"/>
                <w:szCs w:val="1"/>
                <w:color w:val="auto"/>
              </w:rPr>
            </w:pPr>
          </w:p>
        </w:tc>
      </w:tr>
      <w:tr>
        <w:trPr>
          <w:trHeight w:val="102"/>
        </w:trPr>
        <w:tc>
          <w:tcPr>
            <w:tcW w:w="2960" w:type="dxa"/>
            <w:vAlign w:val="bottom"/>
          </w:tcPr>
          <w:p>
            <w:pPr>
              <w:jc w:val="center"/>
              <w:ind w:left="1192"/>
              <w:spacing w:after="0" w:line="102" w:lineRule="exact"/>
              <w:rPr>
                <w:sz w:val="20"/>
                <w:szCs w:val="20"/>
                <w:color w:val="auto"/>
              </w:rPr>
            </w:pPr>
            <w:r>
              <w:rPr>
                <w:rFonts w:ascii="Times New Roman" w:cs="Times New Roman" w:eastAsia="Times New Roman" w:hAnsi="Times New Roman"/>
                <w:sz w:val="10"/>
                <w:szCs w:val="10"/>
                <w:color w:val="auto"/>
                <w:w w:val="94"/>
              </w:rPr>
              <w:t>(Address of principal</w:t>
            </w:r>
          </w:p>
        </w:tc>
        <w:tc>
          <w:tcPr>
            <w:tcW w:w="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620" w:type="dxa"/>
            <w:vAlign w:val="bottom"/>
          </w:tcPr>
          <w:p>
            <w:pPr>
              <w:jc w:val="center"/>
              <w:ind w:right="352"/>
              <w:spacing w:after="0" w:line="102" w:lineRule="exact"/>
              <w:rPr>
                <w:sz w:val="20"/>
                <w:szCs w:val="20"/>
                <w:color w:val="auto"/>
              </w:rPr>
            </w:pPr>
            <w:r>
              <w:rPr>
                <w:rFonts w:ascii="Times New Roman" w:cs="Times New Roman" w:eastAsia="Times New Roman" w:hAnsi="Times New Roman"/>
                <w:sz w:val="10"/>
                <w:szCs w:val="10"/>
                <w:color w:val="auto"/>
                <w:w w:val="94"/>
              </w:rPr>
              <w:t>(Zip Code)</w:t>
            </w:r>
          </w:p>
        </w:tc>
        <w:tc>
          <w:tcPr>
            <w:tcW w:w="0" w:type="dxa"/>
            <w:vAlign w:val="bottom"/>
          </w:tcPr>
          <w:p>
            <w:pPr>
              <w:spacing w:after="0"/>
              <w:rPr>
                <w:sz w:val="1"/>
                <w:szCs w:val="1"/>
                <w:color w:val="auto"/>
              </w:rPr>
            </w:pPr>
          </w:p>
        </w:tc>
      </w:tr>
      <w:tr>
        <w:trPr>
          <w:trHeight w:val="123"/>
        </w:trPr>
        <w:tc>
          <w:tcPr>
            <w:tcW w:w="2960" w:type="dxa"/>
            <w:vAlign w:val="bottom"/>
          </w:tcPr>
          <w:p>
            <w:pPr>
              <w:jc w:val="center"/>
              <w:ind w:left="1192"/>
              <w:spacing w:after="0"/>
              <w:rPr>
                <w:sz w:val="20"/>
                <w:szCs w:val="20"/>
                <w:color w:val="auto"/>
              </w:rPr>
            </w:pPr>
            <w:r>
              <w:rPr>
                <w:rFonts w:ascii="Times New Roman" w:cs="Times New Roman" w:eastAsia="Times New Roman" w:hAnsi="Times New Roman"/>
                <w:sz w:val="10"/>
                <w:szCs w:val="10"/>
                <w:color w:val="auto"/>
                <w:w w:val="95"/>
              </w:rPr>
              <w:t>executive offices)</w:t>
            </w:r>
          </w:p>
        </w:tc>
        <w:tc>
          <w:tcPr>
            <w:tcW w:w="5360" w:type="dxa"/>
            <w:vAlign w:val="bottom"/>
            <w:gridSpan w:val="3"/>
            <w:vMerge w:val="restart"/>
          </w:tcPr>
          <w:p>
            <w:pPr>
              <w:jc w:val="center"/>
              <w:ind w:right="2912"/>
              <w:spacing w:after="0"/>
              <w:rPr>
                <w:sz w:val="20"/>
                <w:szCs w:val="20"/>
                <w:color w:val="auto"/>
              </w:rPr>
            </w:pPr>
            <w:r>
              <w:rPr>
                <w:rFonts w:ascii="Times New Roman" w:cs="Times New Roman" w:eastAsia="Times New Roman" w:hAnsi="Times New Roman"/>
                <w:sz w:val="10"/>
                <w:szCs w:val="10"/>
                <w:b w:val="1"/>
                <w:bCs w:val="1"/>
                <w:color w:val="auto"/>
                <w:w w:val="94"/>
              </w:rPr>
              <w:t>Deutsche Bank Trust Company Americas</w:t>
            </w:r>
          </w:p>
        </w:tc>
        <w:tc>
          <w:tcPr>
            <w:tcW w:w="0" w:type="dxa"/>
            <w:vAlign w:val="bottom"/>
          </w:tcPr>
          <w:p>
            <w:pPr>
              <w:spacing w:after="0"/>
              <w:rPr>
                <w:sz w:val="1"/>
                <w:szCs w:val="1"/>
                <w:color w:val="auto"/>
              </w:rPr>
            </w:pPr>
          </w:p>
        </w:tc>
      </w:tr>
      <w:tr>
        <w:trPr>
          <w:trHeight w:val="89"/>
        </w:trPr>
        <w:tc>
          <w:tcPr>
            <w:tcW w:w="2960" w:type="dxa"/>
            <w:vAlign w:val="bottom"/>
          </w:tcPr>
          <w:p>
            <w:pPr>
              <w:spacing w:after="0"/>
              <w:rPr>
                <w:sz w:val="7"/>
                <w:szCs w:val="7"/>
                <w:color w:val="auto"/>
              </w:rPr>
            </w:pPr>
          </w:p>
        </w:tc>
        <w:tc>
          <w:tcPr>
            <w:tcW w:w="53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700" w:type="dxa"/>
            <w:vAlign w:val="bottom"/>
            <w:gridSpan w:val="2"/>
          </w:tcPr>
          <w:p>
            <w:pPr>
              <w:jc w:val="center"/>
              <w:ind w:right="3572"/>
              <w:spacing w:after="0" w:line="102" w:lineRule="exact"/>
              <w:rPr>
                <w:sz w:val="20"/>
                <w:szCs w:val="20"/>
                <w:color w:val="auto"/>
              </w:rPr>
            </w:pPr>
            <w:r>
              <w:rPr>
                <w:rFonts w:ascii="Times New Roman" w:cs="Times New Roman" w:eastAsia="Times New Roman" w:hAnsi="Times New Roman"/>
                <w:sz w:val="10"/>
                <w:szCs w:val="10"/>
                <w:b w:val="1"/>
                <w:bCs w:val="1"/>
                <w:color w:val="auto"/>
                <w:w w:val="94"/>
              </w:rPr>
              <w:t>1 Columbus Circle</w:t>
            </w:r>
          </w:p>
        </w:tc>
        <w:tc>
          <w:tcPr>
            <w:tcW w:w="0" w:type="dxa"/>
            <w:vAlign w:val="bottom"/>
          </w:tcPr>
          <w:p>
            <w:pPr>
              <w:spacing w:after="0"/>
              <w:rPr>
                <w:sz w:val="1"/>
                <w:szCs w:val="1"/>
                <w:color w:val="auto"/>
              </w:rPr>
            </w:pPr>
          </w:p>
        </w:tc>
      </w:tr>
      <w:tr>
        <w:trPr>
          <w:trHeight w:val="102"/>
        </w:trPr>
        <w:tc>
          <w:tcPr>
            <w:tcW w:w="2960" w:type="dxa"/>
            <w:vAlign w:val="bottom"/>
          </w:tcPr>
          <w:p>
            <w:pPr>
              <w:spacing w:after="0"/>
              <w:rPr>
                <w:sz w:val="8"/>
                <w:szCs w:val="8"/>
                <w:color w:val="auto"/>
              </w:rPr>
            </w:pPr>
          </w:p>
        </w:tc>
        <w:tc>
          <w:tcPr>
            <w:tcW w:w="5360" w:type="dxa"/>
            <w:vAlign w:val="bottom"/>
            <w:gridSpan w:val="3"/>
          </w:tcPr>
          <w:p>
            <w:pPr>
              <w:jc w:val="center"/>
              <w:ind w:right="2912"/>
              <w:spacing w:after="0" w:line="102" w:lineRule="exact"/>
              <w:rPr>
                <w:sz w:val="20"/>
                <w:szCs w:val="20"/>
                <w:color w:val="auto"/>
              </w:rPr>
            </w:pPr>
            <w:r>
              <w:rPr>
                <w:rFonts w:ascii="Times New Roman" w:cs="Times New Roman" w:eastAsia="Times New Roman" w:hAnsi="Times New Roman"/>
                <w:sz w:val="10"/>
                <w:szCs w:val="10"/>
                <w:b w:val="1"/>
                <w:bCs w:val="1"/>
                <w:color w:val="auto"/>
                <w:w w:val="93"/>
              </w:rPr>
              <w:t>New York, New York 10019</w:t>
            </w:r>
          </w:p>
        </w:tc>
        <w:tc>
          <w:tcPr>
            <w:tcW w:w="0" w:type="dxa"/>
            <w:vAlign w:val="bottom"/>
          </w:tcPr>
          <w:p>
            <w:pPr>
              <w:spacing w:after="0"/>
              <w:rPr>
                <w:sz w:val="1"/>
                <w:szCs w:val="1"/>
                <w:color w:val="auto"/>
              </w:rPr>
            </w:pPr>
          </w:p>
        </w:tc>
      </w:tr>
      <w:tr>
        <w:trPr>
          <w:trHeight w:val="104"/>
        </w:trPr>
        <w:tc>
          <w:tcPr>
            <w:tcW w:w="29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700" w:type="dxa"/>
            <w:vAlign w:val="bottom"/>
            <w:gridSpan w:val="2"/>
          </w:tcPr>
          <w:p>
            <w:pPr>
              <w:jc w:val="center"/>
              <w:ind w:right="3552"/>
              <w:spacing w:after="0" w:line="104" w:lineRule="exact"/>
              <w:rPr>
                <w:sz w:val="20"/>
                <w:szCs w:val="20"/>
                <w:color w:val="auto"/>
              </w:rPr>
            </w:pPr>
            <w:r>
              <w:rPr>
                <w:rFonts w:ascii="Times New Roman" w:cs="Times New Roman" w:eastAsia="Times New Roman" w:hAnsi="Times New Roman"/>
                <w:sz w:val="10"/>
                <w:szCs w:val="10"/>
                <w:b w:val="1"/>
                <w:bCs w:val="1"/>
                <w:color w:val="auto"/>
                <w:w w:val="95"/>
              </w:rPr>
              <w:t>(212) 250 – 2500</w:t>
            </w:r>
          </w:p>
        </w:tc>
        <w:tc>
          <w:tcPr>
            <w:tcW w:w="0" w:type="dxa"/>
            <w:vAlign w:val="bottom"/>
          </w:tcPr>
          <w:p>
            <w:pPr>
              <w:spacing w:after="0"/>
              <w:rPr>
                <w:sz w:val="1"/>
                <w:szCs w:val="1"/>
                <w:color w:val="auto"/>
              </w:rPr>
            </w:pPr>
          </w:p>
        </w:tc>
      </w:tr>
      <w:tr>
        <w:trPr>
          <w:trHeight w:val="123"/>
        </w:trPr>
        <w:tc>
          <w:tcPr>
            <w:tcW w:w="2960" w:type="dxa"/>
            <w:vAlign w:val="bottom"/>
          </w:tcPr>
          <w:p>
            <w:pPr>
              <w:spacing w:after="0"/>
              <w:rPr>
                <w:sz w:val="10"/>
                <w:szCs w:val="10"/>
                <w:color w:val="auto"/>
              </w:rPr>
            </w:pPr>
          </w:p>
        </w:tc>
        <w:tc>
          <w:tcPr>
            <w:tcW w:w="5360" w:type="dxa"/>
            <w:vAlign w:val="bottom"/>
            <w:gridSpan w:val="3"/>
          </w:tcPr>
          <w:p>
            <w:pPr>
              <w:jc w:val="center"/>
              <w:ind w:right="2892"/>
              <w:spacing w:after="0"/>
              <w:rPr>
                <w:sz w:val="20"/>
                <w:szCs w:val="20"/>
                <w:color w:val="auto"/>
              </w:rPr>
            </w:pPr>
            <w:r>
              <w:rPr>
                <w:rFonts w:ascii="Times New Roman" w:cs="Times New Roman" w:eastAsia="Times New Roman" w:hAnsi="Times New Roman"/>
                <w:sz w:val="10"/>
                <w:szCs w:val="10"/>
                <w:color w:val="auto"/>
                <w:w w:val="95"/>
              </w:rPr>
              <w:t>(Name, address and telephone number of agent for service)</w:t>
            </w:r>
          </w:p>
        </w:tc>
        <w:tc>
          <w:tcPr>
            <w:tcW w:w="0" w:type="dxa"/>
            <w:vAlign w:val="bottom"/>
          </w:tcPr>
          <w:p>
            <w:pPr>
              <w:spacing w:after="0"/>
              <w:rPr>
                <w:sz w:val="1"/>
                <w:szCs w:val="1"/>
                <w:color w:val="auto"/>
              </w:rPr>
            </w:pPr>
          </w:p>
        </w:tc>
      </w:tr>
      <w:tr>
        <w:trPr>
          <w:trHeight w:val="258"/>
        </w:trPr>
        <w:tc>
          <w:tcPr>
            <w:tcW w:w="29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700" w:type="dxa"/>
            <w:vAlign w:val="bottom"/>
            <w:gridSpan w:val="2"/>
          </w:tcPr>
          <w:p>
            <w:pPr>
              <w:jc w:val="center"/>
              <w:ind w:right="3552"/>
              <w:spacing w:after="0"/>
              <w:rPr>
                <w:sz w:val="20"/>
                <w:szCs w:val="20"/>
                <w:color w:val="auto"/>
              </w:rPr>
            </w:pPr>
            <w:r>
              <w:rPr>
                <w:rFonts w:ascii="Times New Roman" w:cs="Times New Roman" w:eastAsia="Times New Roman" w:hAnsi="Times New Roman"/>
                <w:sz w:val="10"/>
                <w:szCs w:val="10"/>
                <w:b w:val="1"/>
                <w:bCs w:val="1"/>
                <w:color w:val="auto"/>
              </w:rPr>
              <w:t>S</w:t>
            </w:r>
            <w:r>
              <w:rPr>
                <w:rFonts w:ascii="Times New Roman" w:cs="Times New Roman" w:eastAsia="Times New Roman" w:hAnsi="Times New Roman"/>
                <w:sz w:val="7"/>
                <w:szCs w:val="7"/>
                <w:color w:val="auto"/>
              </w:rPr>
              <w:t>HELL</w:t>
            </w:r>
            <w:r>
              <w:rPr>
                <w:rFonts w:ascii="Times New Roman" w:cs="Times New Roman" w:eastAsia="Times New Roman" w:hAnsi="Times New Roman"/>
                <w:sz w:val="10"/>
                <w:szCs w:val="10"/>
                <w:b w:val="1"/>
                <w:bCs w:val="1"/>
                <w:color w:val="auto"/>
              </w:rPr>
              <w:t xml:space="preserve"> F</w:t>
            </w:r>
            <w:r>
              <w:rPr>
                <w:rFonts w:ascii="Times New Roman" w:cs="Times New Roman" w:eastAsia="Times New Roman" w:hAnsi="Times New Roman"/>
                <w:sz w:val="7"/>
                <w:szCs w:val="7"/>
                <w:color w:val="auto"/>
              </w:rPr>
              <w:t>INANCE</w:t>
            </w:r>
            <w:r>
              <w:rPr>
                <w:rFonts w:ascii="Times New Roman" w:cs="Times New Roman" w:eastAsia="Times New Roman" w:hAnsi="Times New Roman"/>
                <w:sz w:val="10"/>
                <w:szCs w:val="10"/>
                <w:b w:val="1"/>
                <w:bCs w:val="1"/>
                <w:color w:val="auto"/>
              </w:rPr>
              <w:t xml:space="preserve"> US I</w:t>
            </w:r>
            <w:r>
              <w:rPr>
                <w:rFonts w:ascii="Times New Roman" w:cs="Times New Roman" w:eastAsia="Times New Roman" w:hAnsi="Times New Roman"/>
                <w:sz w:val="7"/>
                <w:szCs w:val="7"/>
                <w:color w:val="auto"/>
              </w:rPr>
              <w:t>NC</w:t>
            </w: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3"/>
        </w:trPr>
        <w:tc>
          <w:tcPr>
            <w:tcW w:w="2960" w:type="dxa"/>
            <w:vAlign w:val="bottom"/>
          </w:tcPr>
          <w:p>
            <w:pPr>
              <w:spacing w:after="0"/>
              <w:rPr>
                <w:sz w:val="10"/>
                <w:szCs w:val="10"/>
                <w:color w:val="auto"/>
              </w:rPr>
            </w:pPr>
          </w:p>
        </w:tc>
        <w:tc>
          <w:tcPr>
            <w:tcW w:w="5360" w:type="dxa"/>
            <w:vAlign w:val="bottom"/>
            <w:gridSpan w:val="3"/>
          </w:tcPr>
          <w:p>
            <w:pPr>
              <w:jc w:val="center"/>
              <w:ind w:right="2912"/>
              <w:spacing w:after="0"/>
              <w:rPr>
                <w:sz w:val="20"/>
                <w:szCs w:val="20"/>
                <w:color w:val="auto"/>
              </w:rPr>
            </w:pPr>
            <w:r>
              <w:rPr>
                <w:rFonts w:ascii="Times New Roman" w:cs="Times New Roman" w:eastAsia="Times New Roman" w:hAnsi="Times New Roman"/>
                <w:sz w:val="10"/>
                <w:szCs w:val="10"/>
                <w:color w:val="auto"/>
                <w:w w:val="95"/>
              </w:rPr>
              <w:t>(Exact name of obligor as specified in its charter)</w:t>
            </w:r>
          </w:p>
        </w:tc>
        <w:tc>
          <w:tcPr>
            <w:tcW w:w="0" w:type="dxa"/>
            <w:vAlign w:val="bottom"/>
          </w:tcPr>
          <w:p>
            <w:pPr>
              <w:spacing w:after="0"/>
              <w:rPr>
                <w:sz w:val="1"/>
                <w:szCs w:val="1"/>
                <w:color w:val="auto"/>
              </w:rPr>
            </w:pPr>
          </w:p>
        </w:tc>
      </w:tr>
      <w:tr>
        <w:trPr>
          <w:trHeight w:val="258"/>
        </w:trPr>
        <w:tc>
          <w:tcPr>
            <w:tcW w:w="29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2960" w:type="dxa"/>
            <w:vAlign w:val="bottom"/>
          </w:tcPr>
          <w:p>
            <w:pPr>
              <w:jc w:val="center"/>
              <w:ind w:left="1192"/>
              <w:spacing w:after="0"/>
              <w:rPr>
                <w:sz w:val="20"/>
                <w:szCs w:val="20"/>
                <w:color w:val="auto"/>
              </w:rPr>
            </w:pPr>
            <w:r>
              <w:rPr>
                <w:rFonts w:ascii="Times New Roman" w:cs="Times New Roman" w:eastAsia="Times New Roman" w:hAnsi="Times New Roman"/>
                <w:sz w:val="10"/>
                <w:szCs w:val="10"/>
                <w:b w:val="1"/>
                <w:bCs w:val="1"/>
                <w:color w:val="auto"/>
              </w:rPr>
              <w:t>D</w:t>
            </w:r>
            <w:r>
              <w:rPr>
                <w:rFonts w:ascii="Times New Roman" w:cs="Times New Roman" w:eastAsia="Times New Roman" w:hAnsi="Times New Roman"/>
                <w:sz w:val="7"/>
                <w:szCs w:val="7"/>
                <w:color w:val="auto"/>
              </w:rPr>
              <w:t>ELAWARE</w:t>
            </w:r>
          </w:p>
        </w:tc>
        <w:tc>
          <w:tcPr>
            <w:tcW w:w="5360" w:type="dxa"/>
            <w:vAlign w:val="bottom"/>
            <w:gridSpan w:val="3"/>
          </w:tcPr>
          <w:p>
            <w:pPr>
              <w:jc w:val="center"/>
              <w:ind w:left="1293"/>
              <w:spacing w:after="0"/>
              <w:rPr>
                <w:sz w:val="20"/>
                <w:szCs w:val="20"/>
                <w:color w:val="auto"/>
              </w:rPr>
            </w:pPr>
            <w:r>
              <w:rPr>
                <w:rFonts w:ascii="Times New Roman" w:cs="Times New Roman" w:eastAsia="Times New Roman" w:hAnsi="Times New Roman"/>
                <w:sz w:val="10"/>
                <w:szCs w:val="10"/>
                <w:b w:val="1"/>
                <w:bCs w:val="1"/>
                <w:color w:val="auto"/>
                <w:w w:val="95"/>
              </w:rPr>
              <w:t>93-4449519</w:t>
            </w:r>
          </w:p>
        </w:tc>
        <w:tc>
          <w:tcPr>
            <w:tcW w:w="0" w:type="dxa"/>
            <w:vAlign w:val="bottom"/>
          </w:tcPr>
          <w:p>
            <w:pPr>
              <w:spacing w:after="0"/>
              <w:rPr>
                <w:sz w:val="1"/>
                <w:szCs w:val="1"/>
                <w:color w:val="auto"/>
              </w:rPr>
            </w:pPr>
          </w:p>
        </w:tc>
      </w:tr>
      <w:tr>
        <w:trPr>
          <w:trHeight w:val="102"/>
        </w:trPr>
        <w:tc>
          <w:tcPr>
            <w:tcW w:w="2960" w:type="dxa"/>
            <w:vAlign w:val="bottom"/>
          </w:tcPr>
          <w:p>
            <w:pPr>
              <w:jc w:val="center"/>
              <w:ind w:left="1212"/>
              <w:spacing w:after="0" w:line="102" w:lineRule="exact"/>
              <w:rPr>
                <w:sz w:val="20"/>
                <w:szCs w:val="20"/>
                <w:color w:val="auto"/>
              </w:rPr>
            </w:pPr>
            <w:r>
              <w:rPr>
                <w:rFonts w:ascii="Times New Roman" w:cs="Times New Roman" w:eastAsia="Times New Roman" w:hAnsi="Times New Roman"/>
                <w:sz w:val="10"/>
                <w:szCs w:val="10"/>
                <w:color w:val="auto"/>
                <w:w w:val="94"/>
              </w:rPr>
              <w:t>(State or other jurisdiction of</w:t>
            </w:r>
          </w:p>
        </w:tc>
        <w:tc>
          <w:tcPr>
            <w:tcW w:w="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620" w:type="dxa"/>
            <w:vAlign w:val="bottom"/>
          </w:tcPr>
          <w:p>
            <w:pPr>
              <w:jc w:val="center"/>
              <w:ind w:right="352"/>
              <w:spacing w:after="0" w:line="102" w:lineRule="exact"/>
              <w:rPr>
                <w:sz w:val="20"/>
                <w:szCs w:val="20"/>
                <w:color w:val="auto"/>
              </w:rPr>
            </w:pPr>
            <w:r>
              <w:rPr>
                <w:rFonts w:ascii="Times New Roman" w:cs="Times New Roman" w:eastAsia="Times New Roman" w:hAnsi="Times New Roman"/>
                <w:sz w:val="10"/>
                <w:szCs w:val="10"/>
                <w:color w:val="auto"/>
                <w:w w:val="96"/>
              </w:rPr>
              <w:t>(I.R.S. Employer</w:t>
            </w:r>
          </w:p>
        </w:tc>
        <w:tc>
          <w:tcPr>
            <w:tcW w:w="0" w:type="dxa"/>
            <w:vAlign w:val="bottom"/>
          </w:tcPr>
          <w:p>
            <w:pPr>
              <w:spacing w:after="0"/>
              <w:rPr>
                <w:sz w:val="1"/>
                <w:szCs w:val="1"/>
                <w:color w:val="auto"/>
              </w:rPr>
            </w:pPr>
          </w:p>
        </w:tc>
      </w:tr>
      <w:tr>
        <w:trPr>
          <w:trHeight w:val="123"/>
        </w:trPr>
        <w:tc>
          <w:tcPr>
            <w:tcW w:w="2960" w:type="dxa"/>
            <w:vAlign w:val="bottom"/>
          </w:tcPr>
          <w:p>
            <w:pPr>
              <w:jc w:val="center"/>
              <w:ind w:left="1212"/>
              <w:spacing w:after="0"/>
              <w:rPr>
                <w:sz w:val="20"/>
                <w:szCs w:val="20"/>
                <w:color w:val="auto"/>
              </w:rPr>
            </w:pPr>
            <w:r>
              <w:rPr>
                <w:rFonts w:ascii="Times New Roman" w:cs="Times New Roman" w:eastAsia="Times New Roman" w:hAnsi="Times New Roman"/>
                <w:sz w:val="10"/>
                <w:szCs w:val="10"/>
                <w:color w:val="auto"/>
                <w:w w:val="94"/>
              </w:rPr>
              <w:t>incorporation or organization)</w:t>
            </w: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20" w:type="dxa"/>
            <w:vAlign w:val="bottom"/>
          </w:tcPr>
          <w:p>
            <w:pPr>
              <w:jc w:val="center"/>
              <w:ind w:right="352"/>
              <w:spacing w:after="0"/>
              <w:rPr>
                <w:sz w:val="20"/>
                <w:szCs w:val="20"/>
                <w:color w:val="auto"/>
              </w:rPr>
            </w:pPr>
            <w:r>
              <w:rPr>
                <w:rFonts w:ascii="Times New Roman" w:cs="Times New Roman" w:eastAsia="Times New Roman" w:hAnsi="Times New Roman"/>
                <w:sz w:val="10"/>
                <w:szCs w:val="10"/>
                <w:color w:val="auto"/>
                <w:w w:val="93"/>
              </w:rPr>
              <w:t>Identification No.)</w:t>
            </w:r>
          </w:p>
        </w:tc>
        <w:tc>
          <w:tcPr>
            <w:tcW w:w="0" w:type="dxa"/>
            <w:vAlign w:val="bottom"/>
          </w:tcPr>
          <w:p>
            <w:pPr>
              <w:spacing w:after="0"/>
              <w:rPr>
                <w:sz w:val="1"/>
                <w:szCs w:val="1"/>
                <w:color w:val="auto"/>
              </w:rPr>
            </w:pPr>
          </w:p>
        </w:tc>
      </w:tr>
      <w:tr>
        <w:trPr>
          <w:trHeight w:val="242"/>
        </w:trPr>
        <w:tc>
          <w:tcPr>
            <w:tcW w:w="2960" w:type="dxa"/>
            <w:vAlign w:val="bottom"/>
          </w:tcPr>
          <w:p>
            <w:pPr>
              <w:jc w:val="center"/>
              <w:ind w:left="1212"/>
              <w:spacing w:after="0"/>
              <w:rPr>
                <w:sz w:val="20"/>
                <w:szCs w:val="20"/>
                <w:color w:val="auto"/>
              </w:rPr>
            </w:pPr>
            <w:r>
              <w:rPr>
                <w:rFonts w:ascii="Times New Roman" w:cs="Times New Roman" w:eastAsia="Times New Roman" w:hAnsi="Times New Roman"/>
                <w:sz w:val="10"/>
                <w:szCs w:val="10"/>
                <w:b w:val="1"/>
                <w:bCs w:val="1"/>
                <w:color w:val="auto"/>
              </w:rPr>
              <w:t>150 N. D</w:t>
            </w:r>
            <w:r>
              <w:rPr>
                <w:rFonts w:ascii="Times New Roman" w:cs="Times New Roman" w:eastAsia="Times New Roman" w:hAnsi="Times New Roman"/>
                <w:sz w:val="7"/>
                <w:szCs w:val="7"/>
                <w:color w:val="auto"/>
              </w:rPr>
              <w:t>AIRY</w:t>
            </w:r>
            <w:r>
              <w:rPr>
                <w:rFonts w:ascii="Times New Roman" w:cs="Times New Roman" w:eastAsia="Times New Roman" w:hAnsi="Times New Roman"/>
                <w:sz w:val="10"/>
                <w:szCs w:val="10"/>
                <w:b w:val="1"/>
                <w:bCs w:val="1"/>
                <w:color w:val="auto"/>
              </w:rPr>
              <w:t xml:space="preserve"> A</w:t>
            </w:r>
            <w:r>
              <w:rPr>
                <w:rFonts w:ascii="Times New Roman" w:cs="Times New Roman" w:eastAsia="Times New Roman" w:hAnsi="Times New Roman"/>
                <w:sz w:val="7"/>
                <w:szCs w:val="7"/>
                <w:color w:val="auto"/>
              </w:rPr>
              <w:t>SHFORD</w:t>
            </w: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960" w:type="dxa"/>
            <w:vAlign w:val="bottom"/>
          </w:tcPr>
          <w:p>
            <w:pPr>
              <w:jc w:val="center"/>
              <w:ind w:left="1192"/>
              <w:spacing w:after="0" w:line="104" w:lineRule="exact"/>
              <w:rPr>
                <w:sz w:val="20"/>
                <w:szCs w:val="20"/>
                <w:color w:val="auto"/>
              </w:rPr>
            </w:pPr>
            <w:r>
              <w:rPr>
                <w:rFonts w:ascii="Times New Roman" w:cs="Times New Roman" w:eastAsia="Times New Roman" w:hAnsi="Times New Roman"/>
                <w:sz w:val="10"/>
                <w:szCs w:val="10"/>
                <w:b w:val="1"/>
                <w:bCs w:val="1"/>
                <w:color w:val="auto"/>
              </w:rPr>
              <w:t>H</w:t>
            </w:r>
            <w:r>
              <w:rPr>
                <w:rFonts w:ascii="Times New Roman" w:cs="Times New Roman" w:eastAsia="Times New Roman" w:hAnsi="Times New Roman"/>
                <w:sz w:val="7"/>
                <w:szCs w:val="7"/>
                <w:color w:val="auto"/>
              </w:rPr>
              <w:t>OUSTON</w:t>
            </w: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 xml:space="preserve"> T</w:t>
            </w:r>
            <w:r>
              <w:rPr>
                <w:rFonts w:ascii="Times New Roman" w:cs="Times New Roman" w:eastAsia="Times New Roman" w:hAnsi="Times New Roman"/>
                <w:sz w:val="7"/>
                <w:szCs w:val="7"/>
                <w:color w:val="auto"/>
              </w:rPr>
              <w:t>EXAS</w:t>
            </w:r>
            <w:r>
              <w:rPr>
                <w:rFonts w:ascii="Times New Roman" w:cs="Times New Roman" w:eastAsia="Times New Roman" w:hAnsi="Times New Roman"/>
                <w:sz w:val="10"/>
                <w:szCs w:val="10"/>
                <w:b w:val="1"/>
                <w:bCs w:val="1"/>
                <w:color w:val="auto"/>
              </w:rPr>
              <w:t xml:space="preserve"> 77079</w:t>
            </w:r>
          </w:p>
        </w:tc>
        <w:tc>
          <w:tcPr>
            <w:tcW w:w="5360" w:type="dxa"/>
            <w:vAlign w:val="bottom"/>
            <w:gridSpan w:val="3"/>
          </w:tcPr>
          <w:p>
            <w:pPr>
              <w:jc w:val="center"/>
              <w:ind w:left="1273"/>
              <w:spacing w:after="0" w:line="104" w:lineRule="exact"/>
              <w:rPr>
                <w:sz w:val="20"/>
                <w:szCs w:val="20"/>
                <w:color w:val="auto"/>
              </w:rPr>
            </w:pPr>
            <w:r>
              <w:rPr>
                <w:rFonts w:ascii="Times New Roman" w:cs="Times New Roman" w:eastAsia="Times New Roman" w:hAnsi="Times New Roman"/>
                <w:sz w:val="10"/>
                <w:szCs w:val="10"/>
                <w:b w:val="1"/>
                <w:bCs w:val="1"/>
                <w:color w:val="auto"/>
                <w:w w:val="95"/>
              </w:rPr>
              <w:t>77079</w:t>
            </w:r>
          </w:p>
        </w:tc>
        <w:tc>
          <w:tcPr>
            <w:tcW w:w="0" w:type="dxa"/>
            <w:vAlign w:val="bottom"/>
          </w:tcPr>
          <w:p>
            <w:pPr>
              <w:spacing w:after="0"/>
              <w:rPr>
                <w:sz w:val="1"/>
                <w:szCs w:val="1"/>
                <w:color w:val="auto"/>
              </w:rPr>
            </w:pPr>
          </w:p>
        </w:tc>
      </w:tr>
      <w:tr>
        <w:trPr>
          <w:trHeight w:val="123"/>
        </w:trPr>
        <w:tc>
          <w:tcPr>
            <w:tcW w:w="2960" w:type="dxa"/>
            <w:vAlign w:val="bottom"/>
          </w:tcPr>
          <w:p>
            <w:pPr>
              <w:jc w:val="center"/>
              <w:ind w:left="1192"/>
              <w:spacing w:after="0"/>
              <w:rPr>
                <w:sz w:val="20"/>
                <w:szCs w:val="20"/>
                <w:color w:val="auto"/>
              </w:rPr>
            </w:pPr>
            <w:r>
              <w:rPr>
                <w:rFonts w:ascii="Times New Roman" w:cs="Times New Roman" w:eastAsia="Times New Roman" w:hAnsi="Times New Roman"/>
                <w:sz w:val="10"/>
                <w:szCs w:val="10"/>
                <w:color w:val="auto"/>
                <w:w w:val="95"/>
              </w:rPr>
              <w:t>(Address of principal executive offices)</w:t>
            </w: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20" w:type="dxa"/>
            <w:vAlign w:val="bottom"/>
          </w:tcPr>
          <w:p>
            <w:pPr>
              <w:jc w:val="center"/>
              <w:ind w:right="372"/>
              <w:spacing w:after="0"/>
              <w:rPr>
                <w:sz w:val="20"/>
                <w:szCs w:val="20"/>
                <w:color w:val="auto"/>
              </w:rPr>
            </w:pPr>
            <w:r>
              <w:rPr>
                <w:rFonts w:ascii="Times New Roman" w:cs="Times New Roman" w:eastAsia="Times New Roman" w:hAnsi="Times New Roman"/>
                <w:sz w:val="10"/>
                <w:szCs w:val="10"/>
                <w:color w:val="auto"/>
                <w:w w:val="95"/>
              </w:rPr>
              <w:t>(Zip code)</w:t>
            </w:r>
          </w:p>
        </w:tc>
        <w:tc>
          <w:tcPr>
            <w:tcW w:w="0" w:type="dxa"/>
            <w:vAlign w:val="bottom"/>
          </w:tcPr>
          <w:p>
            <w:pPr>
              <w:spacing w:after="0"/>
              <w:rPr>
                <w:sz w:val="1"/>
                <w:szCs w:val="1"/>
                <w:color w:val="auto"/>
              </w:rPr>
            </w:pPr>
          </w:p>
        </w:tc>
      </w:tr>
      <w:tr>
        <w:trPr>
          <w:trHeight w:val="258"/>
        </w:trPr>
        <w:tc>
          <w:tcPr>
            <w:tcW w:w="29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700" w:type="dxa"/>
            <w:vAlign w:val="bottom"/>
            <w:gridSpan w:val="2"/>
          </w:tcPr>
          <w:p>
            <w:pPr>
              <w:jc w:val="center"/>
              <w:ind w:right="3552"/>
              <w:spacing w:after="0"/>
              <w:rPr>
                <w:sz w:val="20"/>
                <w:szCs w:val="20"/>
                <w:color w:val="auto"/>
              </w:rPr>
            </w:pPr>
            <w:r>
              <w:rPr>
                <w:rFonts w:ascii="Times New Roman" w:cs="Times New Roman" w:eastAsia="Times New Roman" w:hAnsi="Times New Roman"/>
                <w:sz w:val="10"/>
                <w:szCs w:val="10"/>
                <w:b w:val="1"/>
                <w:bCs w:val="1"/>
                <w:color w:val="auto"/>
              </w:rPr>
              <w:t>D</w:t>
            </w:r>
            <w:r>
              <w:rPr>
                <w:rFonts w:ascii="Times New Roman" w:cs="Times New Roman" w:eastAsia="Times New Roman" w:hAnsi="Times New Roman"/>
                <w:sz w:val="7"/>
                <w:szCs w:val="7"/>
                <w:color w:val="auto"/>
              </w:rPr>
              <w:t>EBT</w:t>
            </w:r>
            <w:r>
              <w:rPr>
                <w:rFonts w:ascii="Times New Roman" w:cs="Times New Roman" w:eastAsia="Times New Roman" w:hAnsi="Times New Roman"/>
                <w:sz w:val="10"/>
                <w:szCs w:val="10"/>
                <w:b w:val="1"/>
                <w:bCs w:val="1"/>
                <w:color w:val="auto"/>
              </w:rPr>
              <w:t xml:space="preserve"> S</w:t>
            </w:r>
            <w:r>
              <w:rPr>
                <w:rFonts w:ascii="Times New Roman" w:cs="Times New Roman" w:eastAsia="Times New Roman" w:hAnsi="Times New Roman"/>
                <w:sz w:val="7"/>
                <w:szCs w:val="7"/>
                <w:color w:val="auto"/>
              </w:rPr>
              <w:t>ECURITIES</w:t>
            </w:r>
          </w:p>
        </w:tc>
        <w:tc>
          <w:tcPr>
            <w:tcW w:w="0" w:type="dxa"/>
            <w:vAlign w:val="bottom"/>
          </w:tcPr>
          <w:p>
            <w:pPr>
              <w:spacing w:after="0"/>
              <w:rPr>
                <w:sz w:val="1"/>
                <w:szCs w:val="1"/>
                <w:color w:val="auto"/>
              </w:rPr>
            </w:pPr>
          </w:p>
        </w:tc>
      </w:tr>
      <w:tr>
        <w:trPr>
          <w:trHeight w:val="123"/>
        </w:trPr>
        <w:tc>
          <w:tcPr>
            <w:tcW w:w="2960" w:type="dxa"/>
            <w:vAlign w:val="bottom"/>
          </w:tcPr>
          <w:p>
            <w:pPr>
              <w:spacing w:after="0"/>
              <w:rPr>
                <w:sz w:val="10"/>
                <w:szCs w:val="10"/>
                <w:color w:val="auto"/>
              </w:rPr>
            </w:pPr>
          </w:p>
        </w:tc>
        <w:tc>
          <w:tcPr>
            <w:tcW w:w="5360" w:type="dxa"/>
            <w:vAlign w:val="bottom"/>
            <w:gridSpan w:val="3"/>
          </w:tcPr>
          <w:p>
            <w:pPr>
              <w:jc w:val="center"/>
              <w:ind w:right="2892"/>
              <w:spacing w:after="0"/>
              <w:rPr>
                <w:sz w:val="20"/>
                <w:szCs w:val="20"/>
                <w:color w:val="auto"/>
              </w:rPr>
            </w:pPr>
            <w:r>
              <w:rPr>
                <w:rFonts w:ascii="Times New Roman" w:cs="Times New Roman" w:eastAsia="Times New Roman" w:hAnsi="Times New Roman"/>
                <w:sz w:val="10"/>
                <w:szCs w:val="10"/>
                <w:color w:val="auto"/>
                <w:w w:val="95"/>
              </w:rPr>
              <w:t>(Title of the Indenture securities)</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9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4" w:right="1440" w:bottom="1440" w:gutter="0" w:footer="0" w:header="0"/>
        </w:sectPr>
      </w:pPr>
    </w:p>
    <w:bookmarkStart w:id="118" w:name="page119"/>
    <w:bookmarkEnd w:id="1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204075" cy="31750"/>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179"/>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6"/>
              </w:rPr>
              <w:t>General Information.</w:t>
            </w:r>
          </w:p>
        </w:tc>
        <w:tc>
          <w:tcPr>
            <w:tcW w:w="2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327"/>
        </w:trPr>
        <w:tc>
          <w:tcPr>
            <w:tcW w:w="660" w:type="dxa"/>
            <w:vAlign w:val="bottom"/>
          </w:tcPr>
          <w:p>
            <w:pPr>
              <w:spacing w:after="0"/>
              <w:rPr>
                <w:sz w:val="24"/>
                <w:szCs w:val="24"/>
                <w:color w:val="auto"/>
              </w:rPr>
            </w:pPr>
          </w:p>
        </w:tc>
        <w:tc>
          <w:tcPr>
            <w:tcW w:w="400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Furnish the following information as to the trustee.</w:t>
            </w:r>
          </w:p>
        </w:tc>
        <w:tc>
          <w:tcPr>
            <w:tcW w:w="4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27"/>
        </w:trPr>
        <w:tc>
          <w:tcPr>
            <w:tcW w:w="660" w:type="dxa"/>
            <w:vAlign w:val="bottom"/>
          </w:tcPr>
          <w:p>
            <w:pPr>
              <w:spacing w:after="0"/>
              <w:rPr>
                <w:sz w:val="24"/>
                <w:szCs w:val="24"/>
                <w:color w:val="auto"/>
              </w:rPr>
            </w:pPr>
          </w:p>
        </w:tc>
        <w:tc>
          <w:tcPr>
            <w:tcW w:w="6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 xml:space="preserve">(a)       </w:t>
            </w:r>
          </w:p>
        </w:tc>
        <w:tc>
          <w:tcPr>
            <w:tcW w:w="70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Name and address of each examining or supervising authority to which it is subject.</w:t>
            </w:r>
          </w:p>
        </w:tc>
      </w:tr>
      <w:tr>
        <w:trPr>
          <w:trHeight w:val="317"/>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1"/>
              </w:rPr>
              <w:t>Name</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3"/>
              </w:rPr>
              <w:t>Address</w:t>
            </w:r>
          </w:p>
        </w:tc>
        <w:tc>
          <w:tcPr>
            <w:tcW w:w="3180" w:type="dxa"/>
            <w:vAlign w:val="bottom"/>
          </w:tcPr>
          <w:p>
            <w:pPr>
              <w:spacing w:after="0"/>
              <w:rPr>
                <w:sz w:val="24"/>
                <w:szCs w:val="24"/>
                <w:color w:val="auto"/>
              </w:rPr>
            </w:pPr>
          </w:p>
        </w:tc>
      </w:tr>
      <w:tr>
        <w:trPr>
          <w:trHeight w:val="324"/>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Federal Reserve Bank (2nd District)</w:t>
            </w:r>
          </w:p>
        </w:tc>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NY</w:t>
            </w:r>
          </w:p>
        </w:tc>
      </w:tr>
      <w:tr>
        <w:trPr>
          <w:trHeight w:val="163"/>
        </w:trPr>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Washington, D.C.</w:t>
            </w:r>
          </w:p>
        </w:tc>
      </w:tr>
      <w:tr>
        <w:trPr>
          <w:trHeight w:val="175"/>
        </w:trPr>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New York State Banking Department</w:t>
            </w:r>
          </w:p>
        </w:tc>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Albany, NY</w:t>
            </w:r>
          </w:p>
        </w:tc>
      </w:tr>
      <w:tr>
        <w:trPr>
          <w:trHeight w:val="315"/>
        </w:trPr>
        <w:tc>
          <w:tcPr>
            <w:tcW w:w="660" w:type="dxa"/>
            <w:vAlign w:val="bottom"/>
          </w:tcPr>
          <w:p>
            <w:pPr>
              <w:spacing w:after="0"/>
              <w:rPr>
                <w:sz w:val="24"/>
                <w:szCs w:val="24"/>
                <w:color w:val="auto"/>
              </w:rPr>
            </w:pPr>
          </w:p>
        </w:tc>
        <w:tc>
          <w:tcPr>
            <w:tcW w:w="6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 xml:space="preserve">(b)       </w:t>
            </w:r>
          </w:p>
        </w:tc>
        <w:tc>
          <w:tcPr>
            <w:tcW w:w="3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99"/>
              </w:rPr>
              <w:t>Whether it is authorized to exercise corporate trust powers.</w:t>
            </w:r>
          </w:p>
        </w:tc>
        <w:tc>
          <w:tcPr>
            <w:tcW w:w="4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175"/>
        </w:trPr>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Yes.</w:t>
            </w:r>
          </w:p>
        </w:tc>
        <w:tc>
          <w:tcPr>
            <w:tcW w:w="2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439"/>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2.</w:t>
            </w:r>
          </w:p>
        </w:tc>
        <w:tc>
          <w:tcPr>
            <w:tcW w:w="40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Affiliations with Obligor.</w:t>
            </w:r>
          </w:p>
        </w:tc>
        <w:tc>
          <w:tcPr>
            <w:tcW w:w="4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27"/>
        </w:trPr>
        <w:tc>
          <w:tcPr>
            <w:tcW w:w="660" w:type="dxa"/>
            <w:vAlign w:val="bottom"/>
          </w:tcPr>
          <w:p>
            <w:pPr>
              <w:spacing w:after="0"/>
              <w:rPr>
                <w:sz w:val="24"/>
                <w:szCs w:val="24"/>
                <w:color w:val="auto"/>
              </w:rPr>
            </w:pPr>
          </w:p>
        </w:tc>
        <w:tc>
          <w:tcPr>
            <w:tcW w:w="7660" w:type="dxa"/>
            <w:vAlign w:val="bottom"/>
            <w:gridSpan w:val="7"/>
          </w:tcPr>
          <w:p>
            <w:pPr>
              <w:ind w:left="100"/>
              <w:spacing w:after="0"/>
              <w:rPr>
                <w:sz w:val="20"/>
                <w:szCs w:val="20"/>
                <w:color w:val="auto"/>
              </w:rPr>
            </w:pPr>
            <w:r>
              <w:rPr>
                <w:rFonts w:ascii="Times New Roman" w:cs="Times New Roman" w:eastAsia="Times New Roman" w:hAnsi="Times New Roman"/>
                <w:sz w:val="14"/>
                <w:szCs w:val="14"/>
                <w:color w:val="auto"/>
              </w:rPr>
              <w:t>If the obligor is an affiliate of the Trustee, describe each such affiliation.</w:t>
            </w:r>
          </w:p>
        </w:tc>
      </w:tr>
      <w:tr>
        <w:trPr>
          <w:trHeight w:val="327"/>
        </w:trPr>
        <w:tc>
          <w:tcPr>
            <w:tcW w:w="660" w:type="dxa"/>
            <w:vAlign w:val="bottom"/>
          </w:tcPr>
          <w:p>
            <w:pPr>
              <w:spacing w:after="0"/>
              <w:rPr>
                <w:sz w:val="24"/>
                <w:szCs w:val="24"/>
                <w:color w:val="auto"/>
              </w:rPr>
            </w:pPr>
          </w:p>
        </w:tc>
        <w:tc>
          <w:tcPr>
            <w:tcW w:w="6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None.</w:t>
            </w:r>
          </w:p>
        </w:tc>
        <w:tc>
          <w:tcPr>
            <w:tcW w:w="6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47"/>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5"/>
              </w:rPr>
              <w:t>Item 3. -15.</w:t>
            </w:r>
          </w:p>
        </w:tc>
        <w:tc>
          <w:tcPr>
            <w:tcW w:w="10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2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27"/>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10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List of Exhibits.</w:t>
            </w:r>
          </w:p>
        </w:tc>
        <w:tc>
          <w:tcPr>
            <w:tcW w:w="2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15"/>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1 -</w:t>
            </w:r>
          </w:p>
        </w:tc>
        <w:tc>
          <w:tcPr>
            <w:tcW w:w="640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9"/>
              </w:rPr>
              <w:t>Restated Organization Certificate of Bankers Trust Company dated August 31, 1998; Certificate of Amendment of</w:t>
            </w:r>
          </w:p>
        </w:tc>
      </w:tr>
      <w:tr>
        <w:trPr>
          <w:trHeight w:val="163"/>
        </w:trPr>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7"/>
              </w:rPr>
              <w:t>the Organization Certificate of Bankers Trust Company dated September 25, 1998; Certificate of Amendment of the</w:t>
            </w:r>
          </w:p>
        </w:tc>
      </w:tr>
      <w:tr>
        <w:trPr>
          <w:trHeight w:val="163"/>
        </w:trPr>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Organization Certificate of Bankers Trust Company dated December 18, 1998; Certificate of Amendment of the</w:t>
            </w:r>
          </w:p>
        </w:tc>
      </w:tr>
      <w:tr>
        <w:trPr>
          <w:trHeight w:val="163"/>
        </w:trPr>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8"/>
              </w:rPr>
              <w:t>Organization Certificate of Bankers Trust Company dated September 3, 1999; and Certificate of Amendment of the</w:t>
            </w:r>
          </w:p>
        </w:tc>
      </w:tr>
      <w:tr>
        <w:trPr>
          <w:trHeight w:val="163"/>
        </w:trPr>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Organization Certificate of Bankers Trust Company dated March 14, 2002, incorporated herein by reference to</w:t>
            </w:r>
          </w:p>
        </w:tc>
      </w:tr>
      <w:tr>
        <w:trPr>
          <w:trHeight w:val="175"/>
        </w:trPr>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1 filed with Form T-1 Statement, Registration No. 333-201810.</w:t>
            </w:r>
          </w:p>
        </w:tc>
      </w:tr>
      <w:tr>
        <w:trPr>
          <w:trHeight w:val="315"/>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2 -</w:t>
            </w:r>
          </w:p>
        </w:tc>
        <w:tc>
          <w:tcPr>
            <w:tcW w:w="6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Certificate of Authority to commence business, incorporated herein by reference to Exhibit 2 filed with Form T-1</w:t>
            </w:r>
          </w:p>
        </w:tc>
      </w:tr>
      <w:tr>
        <w:trPr>
          <w:trHeight w:val="175"/>
        </w:trPr>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Statement, Registration No. 333-201810.</w:t>
            </w:r>
          </w:p>
        </w:tc>
        <w:tc>
          <w:tcPr>
            <w:tcW w:w="48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315"/>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3 -</w:t>
            </w:r>
          </w:p>
        </w:tc>
        <w:tc>
          <w:tcPr>
            <w:tcW w:w="640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9"/>
              </w:rPr>
              <w:t>Authorization of the Trustee to exercise corporate trust powers, incorporated herein by reference to Exhibit 3 filed</w:t>
            </w:r>
          </w:p>
        </w:tc>
      </w:tr>
      <w:tr>
        <w:trPr>
          <w:trHeight w:val="175"/>
        </w:trPr>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with Form T-1 Statement, Registration No. 333-201810.</w:t>
            </w:r>
          </w:p>
        </w:tc>
      </w:tr>
      <w:tr>
        <w:trPr>
          <w:trHeight w:val="327"/>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4 -</w:t>
            </w:r>
          </w:p>
        </w:tc>
        <w:tc>
          <w:tcPr>
            <w:tcW w:w="6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 copy of existing By-Laws of Deutsche Bank Trust Company Americas, dated May 1, 2025.</w:t>
            </w:r>
          </w:p>
        </w:tc>
      </w:tr>
    </w:tbl>
    <w:p>
      <w:pPr>
        <w:sectPr>
          <w:pgSz w:w="11900" w:h="16838" w:orient="portrait"/>
          <w:cols w:equalWidth="0" w:num="1">
            <w:col w:w="9019"/>
          </w:cols>
          <w:pgMar w:left="1440" w:top="235" w:right="1440" w:bottom="1440" w:gutter="0" w:footer="0" w:header="0"/>
        </w:sectPr>
      </w:pPr>
    </w:p>
    <w:bookmarkStart w:id="119" w:name="page120"/>
    <w:bookmarkEnd w:id="119"/>
    <w:p>
      <w:pPr>
        <w:ind w:left="1100"/>
        <w:spacing w:after="0"/>
        <w:rPr>
          <w:sz w:val="20"/>
          <w:szCs w:val="20"/>
          <w:color w:val="auto"/>
        </w:rPr>
      </w:pPr>
      <w:r>
        <w:rPr>
          <w:rFonts w:ascii="Times New Roman" w:cs="Times New Roman" w:eastAsia="Times New Roman" w:hAnsi="Times New Roman"/>
          <w:sz w:val="12"/>
          <w:szCs w:val="12"/>
          <w:b w:val="1"/>
          <w:bCs w:val="1"/>
          <w:color w:val="auto"/>
        </w:rPr>
        <w:t>Exhibit 5 -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-2169795</wp:posOffset>
            </wp:positionH>
            <wp:positionV relativeFrom="paragraph">
              <wp:posOffset>-149860</wp:posOffset>
            </wp:positionV>
            <wp:extent cx="7204075" cy="317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204075" cy="3175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1720" w:space="540"/>
            <w:col w:w="6759"/>
          </w:cols>
          <w:pgMar w:left="1440" w:top="235" w:right="1440" w:bottom="1440" w:gutter="0" w:footer="0" w:header="0"/>
        </w:sectPr>
      </w:pPr>
    </w:p>
    <w:p>
      <w:pPr>
        <w:ind w:left="1100"/>
        <w:spacing w:after="0"/>
        <w:rPr>
          <w:sz w:val="20"/>
          <w:szCs w:val="20"/>
          <w:color w:val="auto"/>
        </w:rPr>
      </w:pPr>
      <w:r>
        <w:rPr>
          <w:rFonts w:ascii="Times New Roman" w:cs="Times New Roman" w:eastAsia="Times New Roman" w:hAnsi="Times New Roman"/>
          <w:sz w:val="12"/>
          <w:szCs w:val="12"/>
          <w:b w:val="1"/>
          <w:bCs w:val="1"/>
          <w:color w:val="auto"/>
        </w:rPr>
        <w:t>Exhibit 6 -</w:t>
      </w:r>
    </w:p>
    <w:p>
      <w:pPr>
        <w:spacing w:after="0" w:line="20" w:lineRule="exact"/>
        <w:rPr>
          <w:sz w:val="20"/>
          <w:szCs w:val="20"/>
          <w:color w:val="auto"/>
        </w:rPr>
      </w:pPr>
      <w:r>
        <w:rPr>
          <w:sz w:val="20"/>
          <w:szCs w:val="20"/>
          <w:color w:val="auto"/>
        </w:rPr>
        <w:br w:type="column"/>
      </w:r>
    </w:p>
    <w:p>
      <w:pPr>
        <w:ind w:right="359"/>
        <w:spacing w:after="0" w:line="264" w:lineRule="auto"/>
        <w:rPr>
          <w:sz w:val="20"/>
          <w:szCs w:val="20"/>
          <w:color w:val="auto"/>
        </w:rPr>
      </w:pPr>
      <w:r>
        <w:rPr>
          <w:rFonts w:ascii="Times New Roman" w:cs="Times New Roman" w:eastAsia="Times New Roman" w:hAnsi="Times New Roman"/>
          <w:sz w:val="14"/>
          <w:szCs w:val="14"/>
          <w:color w:val="auto"/>
        </w:rPr>
        <w:t>Consent of Bankers Trust Company required by Section 321(b) of the Act, incorporated herein by reference to Exhibit 6 filed with Form T-1 Statement, Registration No. 333-201810.</w:t>
      </w:r>
    </w:p>
    <w:p>
      <w:pPr>
        <w:spacing w:after="0" w:line="132" w:lineRule="exact"/>
        <w:rPr>
          <w:sz w:val="20"/>
          <w:szCs w:val="20"/>
          <w:color w:val="auto"/>
        </w:rPr>
      </w:pPr>
    </w:p>
    <w:p>
      <w:pPr>
        <w:sectPr>
          <w:pgSz w:w="11900" w:h="16838" w:orient="portrait"/>
          <w:cols w:equalWidth="0" w:num="2">
            <w:col w:w="1720" w:space="540"/>
            <w:col w:w="6759"/>
          </w:cols>
          <w:pgMar w:left="1440" w:top="235" w:right="1440"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2"/>
          <w:szCs w:val="12"/>
          <w:b w:val="1"/>
          <w:bCs w:val="1"/>
          <w:color w:val="auto"/>
        </w:rPr>
        <w:t>Exhibit 7 -</w:t>
      </w:r>
    </w:p>
    <w:p>
      <w:pPr>
        <w:spacing w:after="0" w:line="20" w:lineRule="exact"/>
        <w:rPr>
          <w:sz w:val="20"/>
          <w:szCs w:val="20"/>
          <w:color w:val="auto"/>
        </w:rPr>
      </w:pPr>
      <w:r>
        <w:rPr>
          <w:sz w:val="20"/>
          <w:szCs w:val="20"/>
          <w:color w:val="auto"/>
        </w:rPr>
        <w:br w:type="column"/>
      </w:r>
    </w:p>
    <w:p>
      <w:pPr>
        <w:ind w:right="359"/>
        <w:spacing w:after="0" w:line="264" w:lineRule="auto"/>
        <w:rPr>
          <w:sz w:val="20"/>
          <w:szCs w:val="20"/>
          <w:color w:val="auto"/>
        </w:rPr>
      </w:pPr>
      <w:r>
        <w:rPr>
          <w:rFonts w:ascii="Times New Roman" w:cs="Times New Roman" w:eastAsia="Times New Roman" w:hAnsi="Times New Roman"/>
          <w:sz w:val="14"/>
          <w:szCs w:val="14"/>
          <w:color w:val="auto"/>
        </w:rPr>
        <w:t>A copy of the latest report of condition of the trustee published pursuant to law or the requirements of its supervising or examining authority.</w:t>
      </w:r>
    </w:p>
    <w:p>
      <w:pPr>
        <w:spacing w:after="0" w:line="132" w:lineRule="exact"/>
        <w:rPr>
          <w:sz w:val="20"/>
          <w:szCs w:val="20"/>
          <w:color w:val="auto"/>
        </w:rPr>
      </w:pPr>
    </w:p>
    <w:p>
      <w:pPr>
        <w:sectPr>
          <w:pgSz w:w="11900" w:h="16838" w:orient="portrait"/>
          <w:cols w:equalWidth="0" w:num="2">
            <w:col w:w="1720" w:space="540"/>
            <w:col w:w="6759"/>
          </w:cols>
          <w:pgMar w:left="1440" w:top="235" w:right="1440"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2"/>
          <w:szCs w:val="12"/>
          <w:b w:val="1"/>
          <w:bCs w:val="1"/>
          <w:color w:val="auto"/>
        </w:rPr>
        <w:t>Exhibit 8 -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Not Applicable.</w:t>
      </w:r>
    </w:p>
    <w:p>
      <w:pPr>
        <w:spacing w:after="0" w:line="185" w:lineRule="exact"/>
        <w:rPr>
          <w:sz w:val="20"/>
          <w:szCs w:val="20"/>
          <w:color w:val="auto"/>
        </w:rPr>
      </w:pPr>
    </w:p>
    <w:p>
      <w:pPr>
        <w:sectPr>
          <w:pgSz w:w="11900" w:h="16838" w:orient="portrait"/>
          <w:cols w:equalWidth="0" w:num="2">
            <w:col w:w="1720" w:space="540"/>
            <w:col w:w="6759"/>
          </w:cols>
          <w:pgMar w:left="1440" w:top="235" w:right="1440"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2"/>
          <w:szCs w:val="12"/>
          <w:b w:val="1"/>
          <w:bCs w:val="1"/>
          <w:color w:val="auto"/>
        </w:rPr>
        <w:t>Exhibit 9 -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Not Applicable.</w:t>
      </w:r>
    </w:p>
    <w:p>
      <w:pPr>
        <w:sectPr>
          <w:pgSz w:w="11900" w:h="16838" w:orient="portrait"/>
          <w:cols w:equalWidth="0" w:num="2">
            <w:col w:w="1720" w:space="540"/>
            <w:col w:w="6759"/>
          </w:cols>
          <w:pgMar w:left="1440" w:top="235" w:right="1440" w:bottom="1440" w:gutter="0" w:footer="0" w:header="0"/>
          <w:type w:val="continuous"/>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SIGNATURE</w:t>
      </w:r>
    </w:p>
    <w:p>
      <w:pPr>
        <w:spacing w:after="0" w:line="170" w:lineRule="exact"/>
        <w:rPr>
          <w:sz w:val="20"/>
          <w:szCs w:val="20"/>
          <w:color w:val="auto"/>
        </w:rPr>
      </w:pPr>
    </w:p>
    <w:p>
      <w:pPr>
        <w:jc w:val="both"/>
        <w:ind w:left="340" w:right="359" w:firstLine="333"/>
        <w:spacing w:after="0" w:line="253" w:lineRule="auto"/>
        <w:rPr>
          <w:sz w:val="20"/>
          <w:szCs w:val="20"/>
          <w:color w:val="auto"/>
        </w:rPr>
      </w:pPr>
      <w:r>
        <w:rPr>
          <w:rFonts w:ascii="Times New Roman" w:cs="Times New Roman" w:eastAsia="Times New Roman" w:hAnsi="Times New Roman"/>
          <w:sz w:val="14"/>
          <w:szCs w:val="14"/>
          <w:color w:val="auto"/>
        </w:rPr>
        <w:t>Pursuant to the requirements of the Trust Indenture Act of 1939, as amended, the trustee, Deutsche Bank Trust Company Americas, a corporation organized and existing under the laws of the State of New York, has duly caused this statement of eligibility to be signed on its behalf by the undersigned, thereunto duly authorized, all in The City of New York, and State of New York, on this 15th day of May, 2026.</w:t>
      </w:r>
    </w:p>
    <w:p>
      <w:pPr>
        <w:spacing w:after="0" w:line="16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DEUTSCHE BANK TRUST COMPANY AMERICAS</w:t>
      </w:r>
    </w:p>
    <w:p>
      <w:pPr>
        <w:spacing w:after="0" w:line="206" w:lineRule="exact"/>
        <w:rPr>
          <w:sz w:val="20"/>
          <w:szCs w:val="20"/>
          <w:color w:val="auto"/>
        </w:rPr>
      </w:pPr>
    </w:p>
    <w:p>
      <w:pPr>
        <w:ind w:left="5340"/>
        <w:spacing w:after="0"/>
        <w:tabs>
          <w:tab w:leader="none" w:pos="56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2"/>
          <w:szCs w:val="12"/>
          <w:color w:val="auto"/>
        </w:rPr>
        <w:t>/s/ Sebastian Hidalgo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9525</wp:posOffset>
            </wp:positionV>
            <wp:extent cx="191770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1917700" cy="635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 Sebastian Hidalgo</w:t>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Title:   Assistant Vice President</w:t>
      </w:r>
    </w:p>
    <w:p>
      <w:pPr>
        <w:sectPr>
          <w:pgSz w:w="11900" w:h="16838" w:orient="portrait"/>
          <w:cols w:equalWidth="0" w:num="1">
            <w:col w:w="9019"/>
          </w:cols>
          <w:pgMar w:left="1440" w:top="235" w:right="1440" w:bottom="1440" w:gutter="0" w:footer="0" w:header="0"/>
        </w:sectPr>
      </w:pPr>
    </w:p>
    <w:bookmarkStart w:id="121" w:name="page122"/>
    <w:bookmarkEnd w:id="121"/>
    <w:p>
      <w:pPr>
        <w:jc w:val="right"/>
        <w:ind w:right="35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204075" cy="31750"/>
                    </a:xfrm>
                    <a:prstGeom prst="rect">
                      <a:avLst/>
                    </a:prstGeom>
                    <a:noFill/>
                  </pic:spPr>
                </pic:pic>
              </a:graphicData>
            </a:graphic>
          </wp:anchor>
        </w:drawing>
        <w:t>EXHIBIT 4</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AMENDED AND RESTATED</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BY-LAWS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DEUTSCHE BANK TRUST COMPANY AMERICAS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I</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STOCKHOLDERS</w:t>
      </w:r>
    </w:p>
    <w:p>
      <w:pPr>
        <w:spacing w:after="0" w:line="166" w:lineRule="exact"/>
        <w:rPr>
          <w:sz w:val="20"/>
          <w:szCs w:val="20"/>
          <w:color w:val="auto"/>
        </w:rPr>
      </w:pPr>
    </w:p>
    <w:p>
      <w:pPr>
        <w:jc w:val="both"/>
        <w:ind w:left="340" w:right="359" w:firstLine="749"/>
        <w:spacing w:after="0" w:line="250" w:lineRule="auto"/>
        <w:rPr>
          <w:sz w:val="20"/>
          <w:szCs w:val="20"/>
          <w:color w:val="auto"/>
        </w:rPr>
      </w:pP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Annual Meeting</w:t>
      </w:r>
      <w:r>
        <w:rPr>
          <w:rFonts w:ascii="Times New Roman" w:cs="Times New Roman" w:eastAsia="Times New Roman" w:hAnsi="Times New Roman"/>
          <w:sz w:val="14"/>
          <w:szCs w:val="14"/>
          <w:color w:val="auto"/>
        </w:rPr>
        <w:t>. The annual meeting of the stockholders of Deutsche Bank Trust Company Americas (the “Company”) shall be held in the City of New York within the State of New York within the first four months of the Company’s fiscal year, on such date and at such time and place as the board of directors of the Company (“Board of Directors” or “Board”) may designate in the call or in a waiver of notice thereof, for the purpose of electing directors and for the transaction of such other business as may properly be brought before the meeting.</w:t>
      </w:r>
    </w:p>
    <w:p>
      <w:pPr>
        <w:spacing w:after="0" w:line="145" w:lineRule="exact"/>
        <w:rPr>
          <w:sz w:val="20"/>
          <w:szCs w:val="20"/>
          <w:color w:val="auto"/>
        </w:rPr>
      </w:pPr>
    </w:p>
    <w:p>
      <w:pPr>
        <w:jc w:val="both"/>
        <w:ind w:left="340" w:right="359" w:firstLine="749"/>
        <w:spacing w:after="0" w:line="246" w:lineRule="auto"/>
        <w:rPr>
          <w:sz w:val="20"/>
          <w:szCs w:val="20"/>
          <w:color w:val="auto"/>
        </w:rPr>
      </w:pPr>
      <w:r>
        <w:rPr>
          <w:rFonts w:ascii="Times New Roman" w:cs="Times New Roman" w:eastAsia="Times New Roman" w:hAnsi="Times New Roman"/>
          <w:sz w:val="14"/>
          <w:szCs w:val="14"/>
          <w:u w:val="single" w:color="auto"/>
          <w:color w:val="auto"/>
        </w:rPr>
        <w:t>Section 1.02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Special meetings of the stockholders of the Company may be called by the Board of Directors or by the President, and shall be called by the President or by the Secretary upon the written request of the holders of record of at least twenty-five percent (25%) of the shares of stock of the Company issued and outstanding and entitled to vote, at such times. If for a period of thirteen months after the last annual meeting, there is a failure to elect a sufficient number of directors to conduct the business of the Company, the Board of Directors shall call a special meeting for the election of directors within two weeks after the expiration of such period; otherwise, holders of record of ten percent (10%) of the shares of stock of the Company entitled to vote in an election of directors may, in writing, demand the call of a special meeting at the office of the Company for the election of directors, specifying the date and month thereof, but not less than two nor more than three months from the date of such call. At any such special meeting called on demand of stockholders, the stockholders attending, in person or by proxy, and entitled to vote in an election of directors shall constitute a quorum for the purpose of electing directors, but not for the transaction of any other business.</w:t>
      </w:r>
    </w:p>
    <w:p>
      <w:pPr>
        <w:spacing w:after="0" w:line="147" w:lineRule="exact"/>
        <w:rPr>
          <w:sz w:val="20"/>
          <w:szCs w:val="20"/>
          <w:color w:val="auto"/>
        </w:rPr>
      </w:pPr>
    </w:p>
    <w:p>
      <w:pPr>
        <w:jc w:val="both"/>
        <w:ind w:left="340" w:right="359" w:firstLine="749"/>
        <w:spacing w:after="0" w:line="247" w:lineRule="auto"/>
        <w:rPr>
          <w:sz w:val="20"/>
          <w:szCs w:val="20"/>
          <w:color w:val="auto"/>
        </w:rPr>
      </w:pP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Notice of Meetings</w:t>
      </w:r>
      <w:r>
        <w:rPr>
          <w:rFonts w:ascii="Times New Roman" w:cs="Times New Roman" w:eastAsia="Times New Roman" w:hAnsi="Times New Roman"/>
          <w:sz w:val="14"/>
          <w:szCs w:val="14"/>
          <w:color w:val="auto"/>
        </w:rPr>
        <w:t>. Notice of the time, place and purpose of every meeting of stockholders shall be delivered personally or mailed not less than 10 nor more than 50 days before the date of such meeting (or any other action) to each stockholder of record entitled to vote, at his post office address appearing upon the records of the Company or at such other address as shall be furnished in writing by him to the Secretary of the Company for such purpose. Such further notice shall be given as may be required by law or by these By-Laws. Any meeting may be held without notice if all stockholders entitled to vote are present in person or by proxy, or if notice is waived in writing, either before or after the meeting, by those not present.</w:t>
      </w:r>
    </w:p>
    <w:p>
      <w:pPr>
        <w:spacing w:after="0" w:line="149" w:lineRule="exact"/>
        <w:rPr>
          <w:sz w:val="20"/>
          <w:szCs w:val="20"/>
          <w:color w:val="auto"/>
        </w:rPr>
      </w:pPr>
    </w:p>
    <w:p>
      <w:pPr>
        <w:jc w:val="both"/>
        <w:ind w:left="340" w:right="359" w:firstLine="749"/>
        <w:spacing w:after="0" w:line="250" w:lineRule="auto"/>
        <w:rPr>
          <w:sz w:val="20"/>
          <w:szCs w:val="20"/>
          <w:color w:val="auto"/>
        </w:rPr>
      </w:pPr>
      <w:r>
        <w:rPr>
          <w:rFonts w:ascii="Times New Roman" w:cs="Times New Roman" w:eastAsia="Times New Roman" w:hAnsi="Times New Roman"/>
          <w:sz w:val="14"/>
          <w:szCs w:val="14"/>
          <w:u w:val="single" w:color="auto"/>
          <w:color w:val="auto"/>
        </w:rPr>
        <w:t>Section 1.04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Quorum</w:t>
      </w:r>
      <w:r>
        <w:rPr>
          <w:rFonts w:ascii="Times New Roman" w:cs="Times New Roman" w:eastAsia="Times New Roman" w:hAnsi="Times New Roman"/>
          <w:sz w:val="14"/>
          <w:szCs w:val="14"/>
          <w:color w:val="auto"/>
        </w:rPr>
        <w:t>. The holders of record of at least a majority of the shares of the stock of the Company issued and outstanding and entitled to vote, present in person or by proxy, shall, except as otherwise provided by law, by the Company’s Organization Certificate or by these By-Laws, constitute a quorum at all meetings of the stockholders; if there be no such quorum, the holders of a majority of such shares so present or represented may adjourn the meeting from time to time until a quorum shall have been obtained.</w:t>
      </w:r>
    </w:p>
    <w:p>
      <w:pPr>
        <w:spacing w:after="0" w:line="145" w:lineRule="exact"/>
        <w:rPr>
          <w:sz w:val="20"/>
          <w:szCs w:val="20"/>
          <w:color w:val="auto"/>
        </w:rPr>
      </w:pPr>
    </w:p>
    <w:p>
      <w:pPr>
        <w:jc w:val="both"/>
        <w:ind w:left="340" w:right="359" w:firstLine="749"/>
        <w:spacing w:after="0" w:line="253" w:lineRule="auto"/>
        <w:rPr>
          <w:sz w:val="20"/>
          <w:szCs w:val="20"/>
          <w:color w:val="auto"/>
        </w:rPr>
      </w:pPr>
      <w:r>
        <w:rPr>
          <w:rFonts w:ascii="Times New Roman" w:cs="Times New Roman" w:eastAsia="Times New Roman" w:hAnsi="Times New Roman"/>
          <w:sz w:val="14"/>
          <w:szCs w:val="14"/>
          <w:u w:val="single" w:color="auto"/>
          <w:color w:val="auto"/>
        </w:rPr>
        <w:t>Section 1.05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Organization of Meetings</w:t>
      </w:r>
      <w:r>
        <w:rPr>
          <w:rFonts w:ascii="Times New Roman" w:cs="Times New Roman" w:eastAsia="Times New Roman" w:hAnsi="Times New Roman"/>
          <w:sz w:val="14"/>
          <w:szCs w:val="14"/>
          <w:color w:val="auto"/>
        </w:rPr>
        <w:t>. Meetings of the stockholders shall be presided over by the Chairman of the Board or, if he is not present, by the President or, if he is not present, by a chairman to be chosen at the meeting. The Secretary of the Company, or in his absence an Assistant Secretary, shall act as secretary of the meeting, if present.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- 1 -</w:t>
      </w:r>
    </w:p>
    <w:p>
      <w:pPr>
        <w:sectPr>
          <w:pgSz w:w="11900" w:h="16838" w:orient="portrait"/>
          <w:cols w:equalWidth="0" w:num="1">
            <w:col w:w="9019"/>
          </w:cols>
          <w:pgMar w:left="1440" w:top="235" w:right="1440" w:bottom="1440" w:gutter="0" w:footer="0" w:header="0"/>
        </w:sectPr>
      </w:pPr>
    </w:p>
    <w:bookmarkStart w:id="122" w:name="page123"/>
    <w:bookmarkEnd w:id="122"/>
    <w:p>
      <w:pPr>
        <w:jc w:val="both"/>
        <w:ind w:left="340" w:right="359" w:firstLine="749"/>
        <w:spacing w:after="0" w:line="248" w:lineRule="auto"/>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1.06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Voting</w:t>
      </w:r>
      <w:r>
        <w:rPr>
          <w:rFonts w:ascii="Times New Roman" w:cs="Times New Roman" w:eastAsia="Times New Roman" w:hAnsi="Times New Roman"/>
          <w:sz w:val="14"/>
          <w:szCs w:val="14"/>
          <w:color w:val="auto"/>
        </w:rPr>
        <w:t>. At each meeting of stockholders, except as otherwise provided by statute, the Company’s Organization Certificate or these By-Laws, every holder of record of stock entitled to vote shall be entitled to one vote in person or by proxy for each share of such stock standing in his name on the records of the Company. Elections of directors shall be determined by a plurality of the votes cast thereat and, except as otherwise provided by statute, the Company’s Organization Certificate or these By-Laws, all other action shall be determined by a majority of the votes cast at such meeting.</w:t>
      </w:r>
    </w:p>
    <w:p>
      <w:pPr>
        <w:spacing w:after="0" w:line="148" w:lineRule="exact"/>
        <w:rPr>
          <w:sz w:val="20"/>
          <w:szCs w:val="20"/>
          <w:color w:val="auto"/>
        </w:rPr>
      </w:pPr>
    </w:p>
    <w:p>
      <w:pPr>
        <w:jc w:val="both"/>
        <w:ind w:left="340" w:right="359" w:firstLine="749"/>
        <w:spacing w:after="0" w:line="264" w:lineRule="auto"/>
        <w:rPr>
          <w:sz w:val="20"/>
          <w:szCs w:val="20"/>
          <w:color w:val="auto"/>
        </w:rPr>
      </w:pPr>
      <w:r>
        <w:rPr>
          <w:rFonts w:ascii="Times New Roman" w:cs="Times New Roman" w:eastAsia="Times New Roman" w:hAnsi="Times New Roman"/>
          <w:sz w:val="14"/>
          <w:szCs w:val="14"/>
          <w:color w:val="auto"/>
        </w:rPr>
        <w:t>At all elections of directors, the voting shall be by ballot or in such other manner as may be determined by the stockholders present in person or by proxy entitled to vote at such election.</w:t>
      </w:r>
    </w:p>
    <w:p>
      <w:pPr>
        <w:spacing w:after="0" w:line="136" w:lineRule="exact"/>
        <w:rPr>
          <w:sz w:val="20"/>
          <w:szCs w:val="20"/>
          <w:color w:val="auto"/>
        </w:rPr>
      </w:pPr>
    </w:p>
    <w:p>
      <w:pPr>
        <w:jc w:val="both"/>
        <w:ind w:left="340" w:right="359" w:firstLine="749"/>
        <w:spacing w:after="0" w:line="248" w:lineRule="auto"/>
        <w:rPr>
          <w:sz w:val="20"/>
          <w:szCs w:val="20"/>
          <w:color w:val="auto"/>
        </w:rPr>
      </w:pP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Action by Consent</w:t>
      </w:r>
      <w:r>
        <w:rPr>
          <w:rFonts w:ascii="Times New Roman" w:cs="Times New Roman" w:eastAsia="Times New Roman" w:hAnsi="Times New Roman"/>
          <w:sz w:val="14"/>
          <w:szCs w:val="14"/>
          <w:color w:val="auto"/>
        </w:rPr>
        <w:t>. Except as may otherwise be provided in the Company’s Organization Certificate, any action required or permitted to be taken at any meeting of stockholders may be taken without a meeting, without prior notice and without a vote if, prior to such action, a written consent or consents thereto, setting forth such action, is signed by all the holders of record of shares of the stock of the Company, issued and outstanding and entitled to vote thereon, having not less than the minimum number of votes that would be necessary to authorize or take such action at a meeting at which all shares entitled to vote thereon were present and voted.</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II</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DIRECTORS</w:t>
      </w:r>
    </w:p>
    <w:p>
      <w:pPr>
        <w:spacing w:after="0" w:line="166" w:lineRule="exact"/>
        <w:rPr>
          <w:sz w:val="20"/>
          <w:szCs w:val="20"/>
          <w:color w:val="auto"/>
        </w:rPr>
      </w:pPr>
    </w:p>
    <w:p>
      <w:pPr>
        <w:jc w:val="both"/>
        <w:ind w:left="340" w:right="359" w:firstLine="749"/>
        <w:spacing w:after="0" w:line="253" w:lineRule="auto"/>
        <w:rPr>
          <w:sz w:val="20"/>
          <w:szCs w:val="20"/>
          <w:color w:val="auto"/>
        </w:rPr>
      </w:pP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Chairman of the Board</w:t>
      </w:r>
      <w:r>
        <w:rPr>
          <w:rFonts w:ascii="Times New Roman" w:cs="Times New Roman" w:eastAsia="Times New Roman" w:hAnsi="Times New Roman"/>
          <w:sz w:val="14"/>
          <w:szCs w:val="14"/>
          <w:color w:val="auto"/>
        </w:rPr>
        <w:t>. Following the election of the Board of Directors at each annual meeting, the elected Board shall appoint one of its members as Chairman. The Chairman of the Board shall preside at all meetings of the Board of Directors and of the stockholders, and he shall perform such other duties and have such other powers as from time to time may be prescribed by the Board of Directors.</w:t>
      </w:r>
    </w:p>
    <w:p>
      <w:pPr>
        <w:spacing w:after="0" w:line="144" w:lineRule="exact"/>
        <w:rPr>
          <w:sz w:val="20"/>
          <w:szCs w:val="20"/>
          <w:color w:val="auto"/>
        </w:rPr>
      </w:pPr>
    </w:p>
    <w:p>
      <w:pPr>
        <w:jc w:val="both"/>
        <w:ind w:left="340" w:right="359" w:firstLine="749"/>
        <w:spacing w:after="0" w:line="253" w:lineRule="auto"/>
        <w:rPr>
          <w:sz w:val="20"/>
          <w:szCs w:val="20"/>
          <w:color w:val="auto"/>
        </w:rPr>
      </w:pPr>
      <w:r>
        <w:rPr>
          <w:rFonts w:ascii="Times New Roman" w:cs="Times New Roman" w:eastAsia="Times New Roman" w:hAnsi="Times New Roman"/>
          <w:sz w:val="14"/>
          <w:szCs w:val="14"/>
          <w:u w:val="single" w:color="auto"/>
          <w:color w:val="auto"/>
        </w:rPr>
        <w:t>Section 2.02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Lead Independent Director</w:t>
      </w:r>
      <w:r>
        <w:rPr>
          <w:rFonts w:ascii="Times New Roman" w:cs="Times New Roman" w:eastAsia="Times New Roman" w:hAnsi="Times New Roman"/>
          <w:sz w:val="14"/>
          <w:szCs w:val="14"/>
          <w:color w:val="auto"/>
        </w:rPr>
        <w:t>. Following the election of the Board of Directors at each annual meeting, the elected Board may appoint one of its independent members as its Lead Independent Director. When the Chairman of the Board is not present at a meeting of the Board of Directors, the Lead Independent Director, if there be one, shall preside.</w:t>
      </w:r>
    </w:p>
    <w:p>
      <w:pPr>
        <w:spacing w:after="0" w:line="144" w:lineRule="exact"/>
        <w:rPr>
          <w:sz w:val="20"/>
          <w:szCs w:val="20"/>
          <w:color w:val="auto"/>
        </w:rPr>
      </w:pPr>
    </w:p>
    <w:p>
      <w:pPr>
        <w:jc w:val="both"/>
        <w:ind w:left="340" w:right="359" w:firstLine="749"/>
        <w:spacing w:after="0" w:line="253" w:lineRule="auto"/>
        <w:rPr>
          <w:sz w:val="20"/>
          <w:szCs w:val="20"/>
          <w:color w:val="auto"/>
        </w:rPr>
      </w:pPr>
      <w:r>
        <w:rPr>
          <w:rFonts w:ascii="Times New Roman" w:cs="Times New Roman" w:eastAsia="Times New Roman" w:hAnsi="Times New Roman"/>
          <w:sz w:val="14"/>
          <w:szCs w:val="14"/>
          <w:u w:val="single" w:color="auto"/>
          <w:color w:val="auto"/>
        </w:rPr>
        <w:t>Section 2.03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Director Emeritus</w:t>
      </w:r>
      <w:r>
        <w:rPr>
          <w:rFonts w:ascii="Times New Roman" w:cs="Times New Roman" w:eastAsia="Times New Roman" w:hAnsi="Times New Roman"/>
          <w:sz w:val="14"/>
          <w:szCs w:val="14"/>
          <w:color w:val="auto"/>
        </w:rPr>
        <w:t>. The Board of Directors may from time to time elect one or more Directors Emeritus. Each Director Emeritus shall be elected for a term expiring on the date of the regular meeting of the Board of Directors following the next annual meeting. No Director Emeritus shall be considered a “director” for purposes of these By-Laws or for any other purpose.</w:t>
      </w:r>
    </w:p>
    <w:p>
      <w:pPr>
        <w:spacing w:after="0" w:line="144" w:lineRule="exact"/>
        <w:rPr>
          <w:sz w:val="20"/>
          <w:szCs w:val="20"/>
          <w:color w:val="auto"/>
        </w:rPr>
      </w:pPr>
    </w:p>
    <w:p>
      <w:pPr>
        <w:jc w:val="both"/>
        <w:ind w:left="340" w:right="359" w:firstLine="749"/>
        <w:spacing w:after="0" w:line="253" w:lineRule="auto"/>
        <w:rPr>
          <w:sz w:val="20"/>
          <w:szCs w:val="20"/>
          <w:color w:val="auto"/>
        </w:rPr>
      </w:pPr>
      <w:r>
        <w:rPr>
          <w:rFonts w:ascii="Times New Roman" w:cs="Times New Roman" w:eastAsia="Times New Roman" w:hAnsi="Times New Roman"/>
          <w:sz w:val="14"/>
          <w:szCs w:val="14"/>
          <w:u w:val="single" w:color="auto"/>
          <w:color w:val="auto"/>
        </w:rPr>
        <w:t>Section 2.04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Powers, Number, Quorum, Term, Vacancies, Removal</w:t>
      </w:r>
      <w:r>
        <w:rPr>
          <w:rFonts w:ascii="Times New Roman" w:cs="Times New Roman" w:eastAsia="Times New Roman" w:hAnsi="Times New Roman"/>
          <w:sz w:val="14"/>
          <w:szCs w:val="14"/>
          <w:color w:val="auto"/>
        </w:rPr>
        <w:t>. The business and affairs of the Company shall be managed by or under the direction of the Board of Directors which may exercise all such powers of the Company and do all such lawful acts and things as are not by statute or by the Company’s Organization Certificate or by these By-Laws required to be exercised or done by the stockholders.</w:t>
      </w:r>
    </w:p>
    <w:p>
      <w:pPr>
        <w:spacing w:after="0" w:line="144" w:lineRule="exact"/>
        <w:rPr>
          <w:sz w:val="20"/>
          <w:szCs w:val="20"/>
          <w:color w:val="auto"/>
        </w:rPr>
      </w:pPr>
    </w:p>
    <w:p>
      <w:pPr>
        <w:jc w:val="both"/>
        <w:ind w:left="340" w:right="359" w:firstLine="749"/>
        <w:spacing w:after="0" w:line="248" w:lineRule="auto"/>
        <w:rPr>
          <w:sz w:val="20"/>
          <w:szCs w:val="20"/>
          <w:color w:val="auto"/>
        </w:rPr>
      </w:pPr>
      <w:r>
        <w:rPr>
          <w:rFonts w:ascii="Times New Roman" w:cs="Times New Roman" w:eastAsia="Times New Roman" w:hAnsi="Times New Roman"/>
          <w:sz w:val="14"/>
          <w:szCs w:val="14"/>
          <w:color w:val="auto"/>
        </w:rPr>
        <w:t>The number of directors may be changed by a resolution passed by a majority of the members of the Board of Directors or by a vote of the holders of record of at least a majority of the shares of stock of the Company issued and outstanding and entitled to vote, but at all times the Board of Directors must consist of not less than seven nor more than thirty directors. No more than one-third of the directors shall be active officers or employees of the Company. At least one-half of the directors must be citizens of the United States at the time of their election and during their continuance in office.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- 2 -</w:t>
      </w:r>
    </w:p>
    <w:p>
      <w:pPr>
        <w:sectPr>
          <w:pgSz w:w="11900" w:h="16838" w:orient="portrait"/>
          <w:cols w:equalWidth="0" w:num="1">
            <w:col w:w="9019"/>
          </w:cols>
          <w:pgMar w:left="1440" w:top="239" w:right="1440" w:bottom="1440" w:gutter="0" w:footer="0" w:header="0"/>
        </w:sectPr>
      </w:pPr>
    </w:p>
    <w:bookmarkStart w:id="123" w:name="page124"/>
    <w:bookmarkEnd w:id="123"/>
    <w:p>
      <w:pPr>
        <w:jc w:val="both"/>
        <w:ind w:left="340" w:right="359" w:firstLine="749"/>
        <w:spacing w:after="0" w:line="24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204075" cy="31750"/>
                    </a:xfrm>
                    <a:prstGeom prst="rect">
                      <a:avLst/>
                    </a:prstGeom>
                    <a:noFill/>
                  </pic:spPr>
                </pic:pic>
              </a:graphicData>
            </a:graphic>
          </wp:anchor>
        </w:drawing>
        <w:t>Except as otherwise required by law, rule or regulation, or by the Company’s Organization Certificate, at all meetings of the Board of Directors or any committee thereof, a majority of the entire Board of Directors or a majority of the directors constituting such committee, as the case may be, shall constitute a quorum for the transaction of business and the act of a majority of the directors or committee members present at any meeting at which there is a quorum shall be the act of the Board of Directors, or such committee, as applicable. Any one or more members of the Board may participate in a meeting of the Board by means of a conference telephone or video, or other similar communications equipment allowing all persons participating in the meeting to hear each other at the same time. Participation by such means shall constitute presence in person at a meeting. Whether or not a quorum shall be present at any meeting of the Board of Directors or a committee thereof, a majority of the directors present thereat may adjourn the meeting from time to time; notice of the adjourned meeting shall be given to the directors who were not present at the time of the adjournment, but if the time and place of the adjourned meeting are announced, no additional notice shall be required to be given to the directors present at the time of adjournment.</w:t>
      </w:r>
    </w:p>
    <w:p>
      <w:pPr>
        <w:spacing w:after="0" w:line="152" w:lineRule="exact"/>
        <w:rPr>
          <w:sz w:val="20"/>
          <w:szCs w:val="20"/>
          <w:color w:val="auto"/>
        </w:rPr>
      </w:pPr>
    </w:p>
    <w:p>
      <w:pPr>
        <w:jc w:val="both"/>
        <w:ind w:left="340" w:right="359" w:firstLine="749"/>
        <w:spacing w:after="0" w:line="253" w:lineRule="auto"/>
        <w:rPr>
          <w:sz w:val="20"/>
          <w:szCs w:val="20"/>
          <w:color w:val="auto"/>
        </w:rPr>
      </w:pPr>
      <w:r>
        <w:rPr>
          <w:rFonts w:ascii="Times New Roman" w:cs="Times New Roman" w:eastAsia="Times New Roman" w:hAnsi="Times New Roman"/>
          <w:sz w:val="14"/>
          <w:szCs w:val="14"/>
          <w:color w:val="auto"/>
        </w:rPr>
        <w:t>Directors shall hold office until the next annual election and until their successors shall have been elected and shall have qualified. Director vacancies not exceeding one-third of the whole number of the Board of Directors may be filled by the affirmative vote of a majority of the directors then in office, and the directors so elected shall hold office for the balance of the unexpired term.</w:t>
      </w:r>
    </w:p>
    <w:p>
      <w:pPr>
        <w:spacing w:after="0" w:line="144" w:lineRule="exact"/>
        <w:rPr>
          <w:sz w:val="20"/>
          <w:szCs w:val="20"/>
          <w:color w:val="auto"/>
        </w:rPr>
      </w:pPr>
    </w:p>
    <w:p>
      <w:pPr>
        <w:jc w:val="both"/>
        <w:ind w:left="340" w:right="359" w:firstLine="749"/>
        <w:spacing w:after="0" w:line="250" w:lineRule="auto"/>
        <w:rPr>
          <w:sz w:val="20"/>
          <w:szCs w:val="20"/>
          <w:color w:val="auto"/>
        </w:rPr>
      </w:pPr>
      <w:r>
        <w:rPr>
          <w:rFonts w:ascii="Times New Roman" w:cs="Times New Roman" w:eastAsia="Times New Roman" w:hAnsi="Times New Roman"/>
          <w:sz w:val="14"/>
          <w:szCs w:val="14"/>
          <w:color w:val="auto"/>
        </w:rPr>
        <w:t>Any one or more of the directors of the Company may be removed either with or without cause at any time by a vote of the holders of record of at least a majority of the shares of stock of the Company, issued and outstanding and entitled to vote, and thereupon the term of the director or directors who shall have been so removed shall forthwith terminate and there shall be a vacancy or vacancies in the Board of Directors, to be filled by a vote of the stockholders as provided in these By-Laws.</w:t>
      </w:r>
    </w:p>
    <w:p>
      <w:pPr>
        <w:spacing w:after="0" w:line="145" w:lineRule="exact"/>
        <w:rPr>
          <w:sz w:val="20"/>
          <w:szCs w:val="20"/>
          <w:color w:val="auto"/>
        </w:rPr>
      </w:pPr>
    </w:p>
    <w:p>
      <w:pPr>
        <w:jc w:val="both"/>
        <w:ind w:left="340" w:right="359" w:firstLine="749"/>
        <w:spacing w:after="0" w:line="247" w:lineRule="auto"/>
        <w:rPr>
          <w:sz w:val="20"/>
          <w:szCs w:val="20"/>
          <w:color w:val="auto"/>
        </w:rPr>
      </w:pP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Meetings, Notice</w:t>
      </w:r>
      <w:r>
        <w:rPr>
          <w:rFonts w:ascii="Times New Roman" w:cs="Times New Roman" w:eastAsia="Times New Roman" w:hAnsi="Times New Roman"/>
          <w:sz w:val="14"/>
          <w:szCs w:val="14"/>
          <w:color w:val="auto"/>
        </w:rPr>
        <w:t>. Meetings of the Board of Directors shall be held at such place either within or without the State of New York, as may from time to time be fixed by resolution of the Board, or as may be specified in the call or in a waiver of notice thereof. Regular meetings of the Board of Directors and its Executive Committee shall be held as often as may be required under applicable law, and special meetings may be held at any time upon the call of two directors, the Chairman of the Board or the President, by oral, telegraphic or written notice duly served on or sent or mailed to each director not less than two days before such meeting. Any meeting may be held without notice, if all directors are present, or if notice is waived in writing, either before or after the meeting, by those not present.</w:t>
      </w:r>
    </w:p>
    <w:p>
      <w:pPr>
        <w:spacing w:after="0" w:line="149" w:lineRule="exact"/>
        <w:rPr>
          <w:sz w:val="20"/>
          <w:szCs w:val="20"/>
          <w:color w:val="auto"/>
        </w:rPr>
      </w:pPr>
    </w:p>
    <w:p>
      <w:pPr>
        <w:jc w:val="both"/>
        <w:ind w:left="340" w:right="359" w:firstLine="749"/>
        <w:spacing w:after="0" w:line="248" w:lineRule="auto"/>
        <w:rPr>
          <w:sz w:val="20"/>
          <w:szCs w:val="20"/>
          <w:color w:val="auto"/>
        </w:rPr>
      </w:pPr>
      <w:r>
        <w:rPr>
          <w:rFonts w:ascii="Times New Roman" w:cs="Times New Roman" w:eastAsia="Times New Roman" w:hAnsi="Times New Roman"/>
          <w:sz w:val="14"/>
          <w:szCs w:val="14"/>
          <w:u w:val="single" w:color="auto"/>
          <w:color w:val="auto"/>
        </w:rPr>
        <w:t>Section 2.06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Compensation</w:t>
      </w:r>
      <w:r>
        <w:rPr>
          <w:rFonts w:ascii="Times New Roman" w:cs="Times New Roman" w:eastAsia="Times New Roman" w:hAnsi="Times New Roman"/>
          <w:sz w:val="14"/>
          <w:szCs w:val="14"/>
          <w:color w:val="auto"/>
        </w:rPr>
        <w:t>. The Board of Directors may determine, from time to time, the amount of compensation, which shall be paid to its members. The Board of Directors shall also have power, in its discretion, to allow a fixed sum and expenses for attendance at each regular or special meeting of the Board, or of any committee of the Board. The Board of Directors shall also have power, in its discretion, to provide for and pay to directors rendering services to the Company not ordinarily rendered by directors, as such, special compensation appropriate to the value of such services, as determined by the Board from time to time.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III</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COMMITTEES</w:t>
      </w:r>
    </w:p>
    <w:p>
      <w:pPr>
        <w:spacing w:after="0" w:line="166" w:lineRule="exact"/>
        <w:rPr>
          <w:sz w:val="20"/>
          <w:szCs w:val="20"/>
          <w:color w:val="auto"/>
        </w:rPr>
      </w:pPr>
    </w:p>
    <w:p>
      <w:pPr>
        <w:jc w:val="both"/>
        <w:ind w:left="340" w:right="359" w:firstLine="749"/>
        <w:spacing w:after="0" w:line="348" w:lineRule="auto"/>
        <w:rPr>
          <w:sz w:val="20"/>
          <w:szCs w:val="20"/>
          <w:color w:val="auto"/>
        </w:rPr>
      </w:pPr>
      <w:r>
        <w:rPr>
          <w:rFonts w:ascii="Times New Roman" w:cs="Times New Roman" w:eastAsia="Times New Roman" w:hAnsi="Times New Roman"/>
          <w:sz w:val="12"/>
          <w:szCs w:val="12"/>
          <w:u w:val="single" w:color="auto"/>
          <w:color w:val="auto"/>
        </w:rPr>
        <w:t>Section 3.01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Executive Committee</w:t>
      </w:r>
      <w:r>
        <w:rPr>
          <w:rFonts w:ascii="Times New Roman" w:cs="Times New Roman" w:eastAsia="Times New Roman" w:hAnsi="Times New Roman"/>
          <w:sz w:val="12"/>
          <w:szCs w:val="12"/>
          <w:color w:val="auto"/>
        </w:rPr>
        <w:t>. There shall be an Executive Committee of the Board who shall be appointed annually by resolution adopted by the majority of the entire Board of Directors. The Chairman of the Board shall preside at meetings of the Executive Committee. In his</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- 3 -</w:t>
      </w:r>
    </w:p>
    <w:p>
      <w:pPr>
        <w:sectPr>
          <w:pgSz w:w="11900" w:h="16838" w:orient="portrait"/>
          <w:cols w:equalWidth="0" w:num="1">
            <w:col w:w="9019"/>
          </w:cols>
          <w:pgMar w:left="1440" w:top="239" w:right="1440" w:bottom="1440" w:gutter="0" w:footer="0" w:header="0"/>
        </w:sectPr>
      </w:pPr>
    </w:p>
    <w:bookmarkStart w:id="124" w:name="page125"/>
    <w:bookmarkEnd w:id="124"/>
    <w:p>
      <w:pPr>
        <w:jc w:val="both"/>
        <w:ind w:left="340" w:right="35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204075" cy="31750"/>
                    </a:xfrm>
                    <a:prstGeom prst="rect">
                      <a:avLst/>
                    </a:prstGeom>
                    <a:noFill/>
                  </pic:spPr>
                </pic:pic>
              </a:graphicData>
            </a:graphic>
          </wp:anchor>
        </w:drawing>
        <w:t>absence, the Chief Executive Officer or, in his absence, the President or any Co-President or, in their absence, such other member of the Executive Committee as the Executive Committee from time to time may designate shall preside at such meetings.</w:t>
      </w:r>
    </w:p>
    <w:p>
      <w:pPr>
        <w:spacing w:after="0" w:line="136" w:lineRule="exact"/>
        <w:rPr>
          <w:sz w:val="20"/>
          <w:szCs w:val="20"/>
          <w:color w:val="auto"/>
        </w:rPr>
      </w:pPr>
    </w:p>
    <w:p>
      <w:pPr>
        <w:jc w:val="both"/>
        <w:ind w:left="340" w:right="359" w:firstLine="749"/>
        <w:spacing w:after="0" w:line="253" w:lineRule="auto"/>
        <w:rPr>
          <w:sz w:val="20"/>
          <w:szCs w:val="20"/>
          <w:color w:val="auto"/>
        </w:rPr>
      </w:pPr>
      <w:r>
        <w:rPr>
          <w:rFonts w:ascii="Times New Roman" w:cs="Times New Roman" w:eastAsia="Times New Roman" w:hAnsi="Times New Roman"/>
          <w:sz w:val="14"/>
          <w:szCs w:val="14"/>
          <w:u w:val="single" w:color="auto"/>
          <w:color w:val="auto"/>
        </w:rPr>
        <w:t>Section 3.02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Audit and Fiduciary Committee</w:t>
      </w:r>
      <w:r>
        <w:rPr>
          <w:rFonts w:ascii="Times New Roman" w:cs="Times New Roman" w:eastAsia="Times New Roman" w:hAnsi="Times New Roman"/>
          <w:sz w:val="14"/>
          <w:szCs w:val="14"/>
          <w:color w:val="auto"/>
        </w:rPr>
        <w:t>. There shall be an Audit and Fiduciary Committee appointed annually by resolution adopted by a majority of the entire Board of Directors which shall consist of such number of independent directors, as may from time to time be fixed by the Audit and Fiduciary Committee charter adopted by the Board of Directors.</w:t>
      </w:r>
    </w:p>
    <w:p>
      <w:pPr>
        <w:spacing w:after="0" w:line="144" w:lineRule="exact"/>
        <w:rPr>
          <w:sz w:val="20"/>
          <w:szCs w:val="20"/>
          <w:color w:val="auto"/>
        </w:rPr>
      </w:pPr>
    </w:p>
    <w:p>
      <w:pPr>
        <w:jc w:val="both"/>
        <w:ind w:left="340" w:right="359" w:firstLine="749"/>
        <w:spacing w:after="0" w:line="253" w:lineRule="auto"/>
        <w:rPr>
          <w:sz w:val="20"/>
          <w:szCs w:val="20"/>
          <w:color w:val="auto"/>
        </w:rPr>
      </w:pPr>
      <w:r>
        <w:rPr>
          <w:rFonts w:ascii="Times New Roman" w:cs="Times New Roman" w:eastAsia="Times New Roman" w:hAnsi="Times New Roman"/>
          <w:sz w:val="14"/>
          <w:szCs w:val="14"/>
          <w:u w:val="single" w:color="auto"/>
          <w:color w:val="auto"/>
        </w:rPr>
        <w:t>Section 3.03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Other Committees</w:t>
      </w:r>
      <w:r>
        <w:rPr>
          <w:rFonts w:ascii="Times New Roman" w:cs="Times New Roman" w:eastAsia="Times New Roman" w:hAnsi="Times New Roman"/>
          <w:sz w:val="14"/>
          <w:szCs w:val="14"/>
          <w:color w:val="auto"/>
        </w:rPr>
        <w:t>. The Board of Directors shall have the power to appoint any other Committees as may seem necessary, and from time to time to suspend or continue the powers and duties of such Committees. Each Committee appointed pursuant to this Article shall serve at the pleasure of the Board of Directors.</w:t>
      </w:r>
    </w:p>
    <w:p>
      <w:pPr>
        <w:spacing w:after="0" w:line="144" w:lineRule="exact"/>
        <w:rPr>
          <w:sz w:val="20"/>
          <w:szCs w:val="20"/>
          <w:color w:val="auto"/>
        </w:rPr>
      </w:pPr>
    </w:p>
    <w:p>
      <w:pPr>
        <w:jc w:val="both"/>
        <w:ind w:left="340" w:right="359" w:firstLine="749"/>
        <w:spacing w:after="0" w:line="247" w:lineRule="auto"/>
        <w:rPr>
          <w:sz w:val="20"/>
          <w:szCs w:val="20"/>
          <w:color w:val="auto"/>
        </w:rPr>
      </w:pPr>
      <w:r>
        <w:rPr>
          <w:rFonts w:ascii="Times New Roman" w:cs="Times New Roman" w:eastAsia="Times New Roman" w:hAnsi="Times New Roman"/>
          <w:sz w:val="14"/>
          <w:szCs w:val="14"/>
          <w:u w:val="single" w:color="auto"/>
          <w:color w:val="auto"/>
        </w:rPr>
        <w:t>Section 3.04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Limitations</w:t>
      </w:r>
      <w:r>
        <w:rPr>
          <w:rFonts w:ascii="Times New Roman" w:cs="Times New Roman" w:eastAsia="Times New Roman" w:hAnsi="Times New Roman"/>
          <w:sz w:val="14"/>
          <w:szCs w:val="14"/>
          <w:color w:val="auto"/>
        </w:rPr>
        <w:t>. No committee shall have the authority as to the following matters: (i) the submission to stockholders of any action that needs stockholders’ authorization under New York Banking Law; (ii) the filling of vacancies in the Board of Directors or in any such committee; (iii) the fixing of compensation of the directors for serving on the Board of Directors or on any committee; (iv) the amendment or repeal of these By-Laws, or the adoption of new by-laws; (v) the amendment or repeal of any resolution of the Board of Directors which by its terms shall not be so amendable or repealable; or (vi) the taking of action which is expressly required by any provision of New York Banking Law to be taken at a meeting of the Board of Directors or by a specified proportion of the directors.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IV</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OFFICERS</w:t>
      </w:r>
    </w:p>
    <w:p>
      <w:pPr>
        <w:spacing w:after="0" w:line="166" w:lineRule="exact"/>
        <w:rPr>
          <w:sz w:val="20"/>
          <w:szCs w:val="20"/>
          <w:color w:val="auto"/>
        </w:rPr>
      </w:pPr>
    </w:p>
    <w:p>
      <w:pPr>
        <w:jc w:val="both"/>
        <w:ind w:left="340" w:right="359" w:firstLine="749"/>
        <w:spacing w:after="0" w:line="248" w:lineRule="auto"/>
        <w:rPr>
          <w:sz w:val="20"/>
          <w:szCs w:val="20"/>
          <w:color w:val="auto"/>
        </w:rPr>
      </w:pP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Titles and Election</w:t>
      </w:r>
      <w:r>
        <w:rPr>
          <w:rFonts w:ascii="Times New Roman" w:cs="Times New Roman" w:eastAsia="Times New Roman" w:hAnsi="Times New Roman"/>
          <w:sz w:val="14"/>
          <w:szCs w:val="14"/>
          <w:color w:val="auto"/>
        </w:rPr>
        <w:t>. The officers of the Company, who shall be chosen by the Board of Directors within twenty-five days after each annual meeting of stockholders, shall be a President, Chief Executive Officer, Chief Risk Officer, Chief Financial Officer, Treasurer, Secretary, and a General Auditor. The Board of Directors from time to time may elect one or more Managing Directors, Directors, Vice Presidents, Assistant Secretaries, Assistant Treasurers and such other officers and agents as it shall deem necessary, and may define their powers and duties. Any number of offices may be held by the same person, except the offices of President and Secretary.</w:t>
      </w:r>
    </w:p>
    <w:p>
      <w:pPr>
        <w:spacing w:after="0" w:line="148" w:lineRule="exact"/>
        <w:rPr>
          <w:sz w:val="20"/>
          <w:szCs w:val="20"/>
          <w:color w:val="auto"/>
        </w:rPr>
      </w:pPr>
    </w:p>
    <w:p>
      <w:pPr>
        <w:jc w:val="both"/>
        <w:ind w:left="340" w:right="359" w:firstLine="749"/>
        <w:spacing w:after="0" w:line="264" w:lineRule="auto"/>
        <w:rPr>
          <w:sz w:val="20"/>
          <w:szCs w:val="20"/>
          <w:color w:val="auto"/>
        </w:rPr>
      </w:pP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Terms of Office</w:t>
      </w:r>
      <w:r>
        <w:rPr>
          <w:rFonts w:ascii="Times New Roman" w:cs="Times New Roman" w:eastAsia="Times New Roman" w:hAnsi="Times New Roman"/>
          <w:sz w:val="14"/>
          <w:szCs w:val="14"/>
          <w:color w:val="auto"/>
        </w:rPr>
        <w:t>. Each officer shall hold office for the term for which he is elected or appointed, and until his successor has been elected or appointed and qualified.</w:t>
      </w:r>
    </w:p>
    <w:p>
      <w:pPr>
        <w:spacing w:after="0" w:line="136" w:lineRule="exact"/>
        <w:rPr>
          <w:sz w:val="20"/>
          <w:szCs w:val="20"/>
          <w:color w:val="auto"/>
        </w:rPr>
      </w:pPr>
    </w:p>
    <w:p>
      <w:pPr>
        <w:jc w:val="both"/>
        <w:ind w:left="340" w:right="359" w:firstLine="749"/>
        <w:spacing w:after="0" w:line="264" w:lineRule="auto"/>
        <w:rPr>
          <w:sz w:val="20"/>
          <w:szCs w:val="20"/>
          <w:color w:val="auto"/>
        </w:rPr>
      </w:pP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Removal</w:t>
      </w:r>
      <w:r>
        <w:rPr>
          <w:rFonts w:ascii="Times New Roman" w:cs="Times New Roman" w:eastAsia="Times New Roman" w:hAnsi="Times New Roman"/>
          <w:sz w:val="14"/>
          <w:szCs w:val="14"/>
          <w:color w:val="auto"/>
        </w:rPr>
        <w:t>. Any officer may be removed, either with or without cause, at any time, by the affirmative vote of a majority of the Board of Directors.</w:t>
      </w:r>
    </w:p>
    <w:p>
      <w:pPr>
        <w:spacing w:after="0" w:line="136" w:lineRule="exact"/>
        <w:rPr>
          <w:sz w:val="20"/>
          <w:szCs w:val="20"/>
          <w:color w:val="auto"/>
        </w:rPr>
      </w:pPr>
    </w:p>
    <w:p>
      <w:pPr>
        <w:jc w:val="both"/>
        <w:ind w:left="340" w:right="359" w:firstLine="749"/>
        <w:spacing w:after="0" w:line="253" w:lineRule="auto"/>
        <w:rPr>
          <w:sz w:val="20"/>
          <w:szCs w:val="20"/>
          <w:color w:val="auto"/>
        </w:rPr>
      </w:pPr>
      <w:r>
        <w:rPr>
          <w:rFonts w:ascii="Times New Roman" w:cs="Times New Roman" w:eastAsia="Times New Roman" w:hAnsi="Times New Roman"/>
          <w:sz w:val="14"/>
          <w:szCs w:val="14"/>
          <w:u w:val="single" w:color="auto"/>
          <w:color w:val="auto"/>
        </w:rPr>
        <w:t>Section 4.04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Resignations</w:t>
      </w:r>
      <w:r>
        <w:rPr>
          <w:rFonts w:ascii="Times New Roman" w:cs="Times New Roman" w:eastAsia="Times New Roman" w:hAnsi="Times New Roman"/>
          <w:sz w:val="14"/>
          <w:szCs w:val="14"/>
          <w:color w:val="auto"/>
        </w:rPr>
        <w:t>. Any officer may resign at any time by giving written notice to the Board of Directors or to the Secretary. Such resignation shall take effect at the time specified therein and, unless otherwise specified therein, the acceptance of such resignation shall not be necessary to make it effective.</w:t>
      </w:r>
    </w:p>
    <w:p>
      <w:pPr>
        <w:spacing w:after="0" w:line="144" w:lineRule="exact"/>
        <w:rPr>
          <w:sz w:val="20"/>
          <w:szCs w:val="20"/>
          <w:color w:val="auto"/>
        </w:rPr>
      </w:pPr>
    </w:p>
    <w:p>
      <w:pPr>
        <w:jc w:val="both"/>
        <w:ind w:left="340" w:right="359" w:firstLine="749"/>
        <w:spacing w:after="0" w:line="253" w:lineRule="auto"/>
        <w:rPr>
          <w:sz w:val="20"/>
          <w:szCs w:val="20"/>
          <w:color w:val="auto"/>
        </w:rPr>
      </w:pPr>
      <w:r>
        <w:rPr>
          <w:rFonts w:ascii="Times New Roman" w:cs="Times New Roman" w:eastAsia="Times New Roman" w:hAnsi="Times New Roman"/>
          <w:sz w:val="14"/>
          <w:szCs w:val="14"/>
          <w:u w:val="single" w:color="auto"/>
          <w:color w:val="auto"/>
        </w:rPr>
        <w:t>Section 4.05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Vacancies</w:t>
      </w:r>
      <w:r>
        <w:rPr>
          <w:rFonts w:ascii="Times New Roman" w:cs="Times New Roman" w:eastAsia="Times New Roman" w:hAnsi="Times New Roman"/>
          <w:sz w:val="14"/>
          <w:szCs w:val="14"/>
          <w:color w:val="auto"/>
        </w:rPr>
        <w:t>. If the office of any officer or agent becomes vacant by reason of death, resignation, retirement, disqualification, removal from office or otherwise, the Board of Directors may choose a successor, who shall hold office for the unexpired term in respect of which such vacancy occurred.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- 4 -</w:t>
      </w:r>
    </w:p>
    <w:p>
      <w:pPr>
        <w:sectPr>
          <w:pgSz w:w="11900" w:h="16838" w:orient="portrait"/>
          <w:cols w:equalWidth="0" w:num="1">
            <w:col w:w="9019"/>
          </w:cols>
          <w:pgMar w:left="1440" w:top="239" w:right="1440" w:bottom="1440" w:gutter="0" w:footer="0" w:header="0"/>
        </w:sectPr>
      </w:pPr>
    </w:p>
    <w:bookmarkStart w:id="125" w:name="page126"/>
    <w:bookmarkEnd w:id="125"/>
    <w:p>
      <w:pPr>
        <w:jc w:val="both"/>
        <w:ind w:left="340" w:right="359" w:firstLine="749"/>
        <w:spacing w:after="0" w:line="248" w:lineRule="auto"/>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204075" cy="31750"/>
                    </a:xfrm>
                    <a:prstGeom prst="rect">
                      <a:avLst/>
                    </a:prstGeom>
                    <a:noFill/>
                  </pic:spPr>
                </pic:pic>
              </a:graphicData>
            </a:graphic>
          </wp:anchor>
        </w:drawing>
        <w:t>Section 4.06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President</w:t>
      </w:r>
      <w:r>
        <w:rPr>
          <w:rFonts w:ascii="Times New Roman" w:cs="Times New Roman" w:eastAsia="Times New Roman" w:hAnsi="Times New Roman"/>
          <w:sz w:val="14"/>
          <w:szCs w:val="14"/>
          <w:color w:val="auto"/>
        </w:rPr>
        <w:t>. The President shall have general authority to exercise all the powers necessary for the President of the Company. In the absence of the Chairman and the Lead Independent Director, the President shall preside at all meetings of the Board of Directors and of the stockholders. The President shall have the power to execute bonds, mortgages and other contracts, agreements and instruments of the Company, and he shall perform such other duties and have such other powers as may be incident to the office of the president of a corporation and as from time to time may otherwise be prescribed by the Board of Directors.</w:t>
      </w:r>
    </w:p>
    <w:p>
      <w:pPr>
        <w:spacing w:after="0" w:line="148" w:lineRule="exact"/>
        <w:rPr>
          <w:sz w:val="20"/>
          <w:szCs w:val="20"/>
          <w:color w:val="auto"/>
        </w:rPr>
      </w:pPr>
    </w:p>
    <w:p>
      <w:pPr>
        <w:jc w:val="both"/>
        <w:ind w:left="340" w:right="359" w:firstLine="749"/>
        <w:spacing w:after="0" w:line="246" w:lineRule="auto"/>
        <w:rPr>
          <w:sz w:val="20"/>
          <w:szCs w:val="20"/>
          <w:color w:val="auto"/>
        </w:rPr>
      </w:pPr>
      <w:r>
        <w:rPr>
          <w:rFonts w:ascii="Times New Roman" w:cs="Times New Roman" w:eastAsia="Times New Roman" w:hAnsi="Times New Roman"/>
          <w:sz w:val="14"/>
          <w:szCs w:val="14"/>
          <w:u w:val="single" w:color="auto"/>
          <w:color w:val="auto"/>
        </w:rPr>
        <w:t>Section 4.07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Chief Executive Officer</w:t>
      </w:r>
      <w:r>
        <w:rPr>
          <w:rFonts w:ascii="Times New Roman" w:cs="Times New Roman" w:eastAsia="Times New Roman" w:hAnsi="Times New Roman"/>
          <w:sz w:val="14"/>
          <w:szCs w:val="14"/>
          <w:color w:val="auto"/>
        </w:rPr>
        <w:t>. Unless otherwise determined by the Board of Directors, the President shall be the Chief Executive Officer of the Company. The Chief Executive Officer shall exercise the powers and perform the duties usual to the chief executive officer and, subject to the control of the Board of Directors, shall have general management and control of the affairs and business of the Company; he shall appoint and discharge employees and agents of the Company (other than officers elected by the Board of Directors); he shall see that all orders and resolutions of the Board of Directors are carried into effect; he shall have the power to execute bonds, mortgages and other contracts, agreements and instruments of the Company, and he shall perform such other duties and have such other powers as may be incident to the office of the chief executive officer of a corporation and as from time to time may otherwise be prescribed by the Board of Directors.</w:t>
      </w:r>
    </w:p>
    <w:p>
      <w:pPr>
        <w:spacing w:after="0" w:line="151" w:lineRule="exact"/>
        <w:rPr>
          <w:sz w:val="20"/>
          <w:szCs w:val="20"/>
          <w:color w:val="auto"/>
        </w:rPr>
      </w:pPr>
    </w:p>
    <w:p>
      <w:pPr>
        <w:jc w:val="both"/>
        <w:ind w:left="340" w:right="359" w:firstLine="749"/>
        <w:spacing w:after="0" w:line="250" w:lineRule="auto"/>
        <w:rPr>
          <w:sz w:val="20"/>
          <w:szCs w:val="20"/>
          <w:color w:val="auto"/>
        </w:rPr>
      </w:pPr>
      <w:r>
        <w:rPr>
          <w:rFonts w:ascii="Times New Roman" w:cs="Times New Roman" w:eastAsia="Times New Roman" w:hAnsi="Times New Roman"/>
          <w:sz w:val="14"/>
          <w:szCs w:val="14"/>
          <w:u w:val="single" w:color="auto"/>
          <w:color w:val="auto"/>
        </w:rPr>
        <w:t>Section 4.08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Chief Risk Officer</w:t>
      </w:r>
      <w:r>
        <w:rPr>
          <w:rFonts w:ascii="Times New Roman" w:cs="Times New Roman" w:eastAsia="Times New Roman" w:hAnsi="Times New Roman"/>
          <w:sz w:val="14"/>
          <w:szCs w:val="14"/>
          <w:color w:val="auto"/>
        </w:rPr>
        <w:t>. The Chief Risk Officer shall have the responsibility for the risk management and monitoring of the Company. The Chief Risk Officer shall have the power to execute bonds, notes, mortgages and other contracts, agreements and instruments of the Company, and he shall perform such other duties and have such other powers as may be incident to his office and as from time to time may otherwise be prescribed by the Board of Directors.</w:t>
      </w:r>
    </w:p>
    <w:p>
      <w:pPr>
        <w:spacing w:after="0" w:line="145" w:lineRule="exact"/>
        <w:rPr>
          <w:sz w:val="20"/>
          <w:szCs w:val="20"/>
          <w:color w:val="auto"/>
        </w:rPr>
      </w:pPr>
    </w:p>
    <w:p>
      <w:pPr>
        <w:jc w:val="both"/>
        <w:ind w:left="340" w:right="359" w:firstLine="749"/>
        <w:spacing w:after="0" w:line="250" w:lineRule="auto"/>
        <w:rPr>
          <w:sz w:val="20"/>
          <w:szCs w:val="20"/>
          <w:color w:val="auto"/>
        </w:rPr>
      </w:pPr>
      <w:r>
        <w:rPr>
          <w:rFonts w:ascii="Times New Roman" w:cs="Times New Roman" w:eastAsia="Times New Roman" w:hAnsi="Times New Roman"/>
          <w:sz w:val="14"/>
          <w:szCs w:val="14"/>
          <w:u w:val="single" w:color="auto"/>
          <w:color w:val="auto"/>
        </w:rPr>
        <w:t>Section 4.09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Chief Financial Officer</w:t>
      </w:r>
      <w:r>
        <w:rPr>
          <w:rFonts w:ascii="Times New Roman" w:cs="Times New Roman" w:eastAsia="Times New Roman" w:hAnsi="Times New Roman"/>
          <w:sz w:val="14"/>
          <w:szCs w:val="14"/>
          <w:color w:val="auto"/>
        </w:rPr>
        <w:t>. The Chief Financial Officer shall have the responsibility for reporting to the Board of Directors on the financial condition of the Company, preparing and submitting all financial reports required by applicable law, and preparing annual financial statements of the Company and coordinating with qualified third party auditors to ensure such financial statements are audited in accordance with applicable law.</w:t>
      </w:r>
    </w:p>
    <w:p>
      <w:pPr>
        <w:spacing w:after="0" w:line="145" w:lineRule="exact"/>
        <w:rPr>
          <w:sz w:val="20"/>
          <w:szCs w:val="20"/>
          <w:color w:val="auto"/>
        </w:rPr>
      </w:pPr>
    </w:p>
    <w:p>
      <w:pPr>
        <w:jc w:val="both"/>
        <w:ind w:left="340" w:right="359" w:firstLine="749"/>
        <w:spacing w:after="0" w:line="248" w:lineRule="auto"/>
        <w:rPr>
          <w:sz w:val="20"/>
          <w:szCs w:val="20"/>
          <w:color w:val="auto"/>
        </w:rPr>
      </w:pPr>
      <w:r>
        <w:rPr>
          <w:rFonts w:ascii="Times New Roman" w:cs="Times New Roman" w:eastAsia="Times New Roman" w:hAnsi="Times New Roman"/>
          <w:sz w:val="14"/>
          <w:szCs w:val="14"/>
          <w:u w:val="single" w:color="auto"/>
          <w:color w:val="auto"/>
        </w:rPr>
        <w:t>Section 4.10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Treasurer</w:t>
      </w:r>
      <w:r>
        <w:rPr>
          <w:rFonts w:ascii="Times New Roman" w:cs="Times New Roman" w:eastAsia="Times New Roman" w:hAnsi="Times New Roman"/>
          <w:sz w:val="14"/>
          <w:szCs w:val="14"/>
          <w:color w:val="auto"/>
        </w:rPr>
        <w:t>. The Treasurer shall have the custody of the corporate funds and securities and shall keep full and accurate accounts of receipts and disbursements in books belonging to the Company and shall deposit all moneys, and other valuable effects in the name and to the credit of the Company, in such depositories as may be designated by the Board of Directors. He shall disburse the funds of the Company as may be ordered by the Board, taking proper vouchers for such disbursements, and shall render to the directors whenever they may require it an account of all his transactions as Treasurer and of the financial condition of the Company.</w:t>
      </w:r>
    </w:p>
    <w:p>
      <w:pPr>
        <w:spacing w:after="0" w:line="148" w:lineRule="exact"/>
        <w:rPr>
          <w:sz w:val="20"/>
          <w:szCs w:val="20"/>
          <w:color w:val="auto"/>
        </w:rPr>
      </w:pPr>
    </w:p>
    <w:p>
      <w:pPr>
        <w:jc w:val="both"/>
        <w:ind w:left="340" w:right="359" w:firstLine="749"/>
        <w:spacing w:after="0" w:line="247" w:lineRule="auto"/>
        <w:rPr>
          <w:sz w:val="20"/>
          <w:szCs w:val="20"/>
          <w:color w:val="auto"/>
        </w:rPr>
      </w:pPr>
      <w:r>
        <w:rPr>
          <w:rFonts w:ascii="Times New Roman" w:cs="Times New Roman" w:eastAsia="Times New Roman" w:hAnsi="Times New Roman"/>
          <w:sz w:val="14"/>
          <w:szCs w:val="14"/>
          <w:u w:val="single" w:color="auto"/>
          <w:color w:val="auto"/>
        </w:rPr>
        <w:t>Section 4.11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Secretary</w:t>
      </w:r>
      <w:r>
        <w:rPr>
          <w:rFonts w:ascii="Times New Roman" w:cs="Times New Roman" w:eastAsia="Times New Roman" w:hAnsi="Times New Roman"/>
          <w:sz w:val="14"/>
          <w:szCs w:val="14"/>
          <w:color w:val="auto"/>
        </w:rPr>
        <w:t>. The Secretary shall attend all sessions of the Board of Directors and all meetings of the stockholders and record all votes and the minutes of proceedings in records or books to be kept for that purpose. He shall give, or cause to be given, notice of all meetings of the stockholders and of the Board of Directors and shall perform such other duties and have such other powers as may be incident to the office of the secretary of a corporation and as from time to time may otherwise be prescribed by the Board of Directors. The Secretary shall have and be the custodian of the stock records and all other books, records and papers of the Company (other than financial) and shall see that all books, reports, statements, certificates and other documents and records required by law are properly kept and filed.</w:t>
      </w:r>
    </w:p>
    <w:p>
      <w:pPr>
        <w:spacing w:after="0" w:line="149" w:lineRule="exact"/>
        <w:rPr>
          <w:sz w:val="20"/>
          <w:szCs w:val="20"/>
          <w:color w:val="auto"/>
        </w:rPr>
      </w:pPr>
    </w:p>
    <w:p>
      <w:pPr>
        <w:jc w:val="both"/>
        <w:ind w:left="340" w:right="359" w:firstLine="749"/>
        <w:spacing w:after="0" w:line="264" w:lineRule="auto"/>
        <w:rPr>
          <w:sz w:val="20"/>
          <w:szCs w:val="20"/>
          <w:color w:val="auto"/>
        </w:rPr>
      </w:pPr>
      <w:r>
        <w:rPr>
          <w:rFonts w:ascii="Times New Roman" w:cs="Times New Roman" w:eastAsia="Times New Roman" w:hAnsi="Times New Roman"/>
          <w:sz w:val="14"/>
          <w:szCs w:val="14"/>
          <w:u w:val="single" w:color="auto"/>
          <w:color w:val="auto"/>
        </w:rPr>
        <w:t>Section 4.12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General Auditor</w:t>
      </w:r>
      <w:r>
        <w:rPr>
          <w:rFonts w:ascii="Times New Roman" w:cs="Times New Roman" w:eastAsia="Times New Roman" w:hAnsi="Times New Roman"/>
          <w:sz w:val="14"/>
          <w:szCs w:val="14"/>
          <w:color w:val="auto"/>
        </w:rPr>
        <w:t>. The General Auditor shall be responsible, through the Audit and Fiduciary Committee, to the Board of Directors for the determination of the program of the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- 5 -</w:t>
      </w:r>
    </w:p>
    <w:p>
      <w:pPr>
        <w:sectPr>
          <w:pgSz w:w="11900" w:h="16838" w:orient="portrait"/>
          <w:cols w:equalWidth="0" w:num="1">
            <w:col w:w="9019"/>
          </w:cols>
          <w:pgMar w:left="1440" w:top="239" w:right="1440" w:bottom="1440" w:gutter="0" w:footer="0" w:header="0"/>
        </w:sectPr>
      </w:pPr>
    </w:p>
    <w:bookmarkStart w:id="126" w:name="page127"/>
    <w:bookmarkEnd w:id="126"/>
    <w:p>
      <w:pPr>
        <w:jc w:val="both"/>
        <w:ind w:left="340" w:right="359"/>
        <w:spacing w:after="0" w:line="24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internal audit function and the evaluation of the adequacy of the system of internal controls. Subject to the Board of Directors, the General Auditor shall have and may exercise all the powers and shall perform all the duties usual to such office and shall have such other powers as may be prescribed or assigned to him from time to time by the Board of Directors or vested in him by law or by these By-Laws. He shall perform such other duties and shall make such investigations, examinations and reports as may be prescribed or required by the Audit and Fiduciary Committee. The General Auditor shall have unrestricted access to all records and premises of the Company and shall delegate such authority to his subordinates. He shall have the duty to report to the Audit and Fiduciary Committee on all matters concerning the internal audit program and the adequacy of the system of internal controls of the Company which he deems advisable or which the Audit and Fiduciary Committee may request.</w:t>
      </w:r>
    </w:p>
    <w:p>
      <w:pPr>
        <w:spacing w:after="0" w:line="151" w:lineRule="exact"/>
        <w:rPr>
          <w:sz w:val="20"/>
          <w:szCs w:val="20"/>
          <w:color w:val="auto"/>
        </w:rPr>
      </w:pPr>
    </w:p>
    <w:p>
      <w:pPr>
        <w:jc w:val="both"/>
        <w:ind w:left="340" w:right="359" w:firstLine="749"/>
        <w:spacing w:after="0" w:line="248" w:lineRule="auto"/>
        <w:rPr>
          <w:sz w:val="20"/>
          <w:szCs w:val="20"/>
          <w:color w:val="auto"/>
        </w:rPr>
      </w:pPr>
      <w:r>
        <w:rPr>
          <w:rFonts w:ascii="Times New Roman" w:cs="Times New Roman" w:eastAsia="Times New Roman" w:hAnsi="Times New Roman"/>
          <w:sz w:val="14"/>
          <w:szCs w:val="14"/>
          <w:u w:val="single" w:color="auto"/>
          <w:color w:val="auto"/>
        </w:rPr>
        <w:t>Section 4.13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Managing Directors, Directors and Vice Presidents</w:t>
      </w:r>
      <w:r>
        <w:rPr>
          <w:rFonts w:ascii="Times New Roman" w:cs="Times New Roman" w:eastAsia="Times New Roman" w:hAnsi="Times New Roman"/>
          <w:sz w:val="14"/>
          <w:szCs w:val="14"/>
          <w:color w:val="auto"/>
        </w:rPr>
        <w:t>. If chosen, the Managing Directors, Directors and Vice Presidents, in the order of their seniority, shall, in the absence or disability of the President, exercise all of the powers and duties of the President. Such Managing Directors, Directors and Vice Presidents shall have the power to execute bonds, notes, mortgages and other contracts, agreements and instruments of the Company, and they shall perform such other duties and have such other powers as may be incident to their respective offices and as from time to time may be prescribed by the Board of Directors or the President.</w:t>
      </w:r>
    </w:p>
    <w:p>
      <w:pPr>
        <w:spacing w:after="0" w:line="148" w:lineRule="exact"/>
        <w:rPr>
          <w:sz w:val="20"/>
          <w:szCs w:val="20"/>
          <w:color w:val="auto"/>
        </w:rPr>
      </w:pPr>
    </w:p>
    <w:p>
      <w:pPr>
        <w:jc w:val="both"/>
        <w:ind w:left="340" w:right="359" w:firstLine="749"/>
        <w:spacing w:after="0" w:line="253" w:lineRule="auto"/>
        <w:rPr>
          <w:sz w:val="20"/>
          <w:szCs w:val="20"/>
          <w:color w:val="auto"/>
        </w:rPr>
      </w:pPr>
      <w:r>
        <w:rPr>
          <w:rFonts w:ascii="Times New Roman" w:cs="Times New Roman" w:eastAsia="Times New Roman" w:hAnsi="Times New Roman"/>
          <w:sz w:val="14"/>
          <w:szCs w:val="14"/>
          <w:u w:val="single" w:color="auto"/>
          <w:color w:val="auto"/>
        </w:rPr>
        <w:t>Section 4.14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Duties of Officers may be Delegated</w:t>
      </w:r>
      <w:r>
        <w:rPr>
          <w:rFonts w:ascii="Times New Roman" w:cs="Times New Roman" w:eastAsia="Times New Roman" w:hAnsi="Times New Roman"/>
          <w:sz w:val="14"/>
          <w:szCs w:val="14"/>
          <w:color w:val="auto"/>
        </w:rPr>
        <w:t>. In case of the absence or disability of any officer of the Company, or for any other reason that the Board may deem sufficient, the Board may delegate, for the time being, the powers or duties, or any of them, of such officer to any other officer.</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V</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INDEMNIFICATION OF DIRECTORS, OFFICERS AND OTHERS</w:t>
      </w:r>
    </w:p>
    <w:p>
      <w:pPr>
        <w:spacing w:after="0" w:line="166" w:lineRule="exact"/>
        <w:rPr>
          <w:sz w:val="20"/>
          <w:szCs w:val="20"/>
          <w:color w:val="auto"/>
        </w:rPr>
      </w:pPr>
    </w:p>
    <w:p>
      <w:pPr>
        <w:jc w:val="both"/>
        <w:ind w:left="340" w:right="359" w:firstLine="749"/>
        <w:spacing w:after="0" w:line="245" w:lineRule="auto"/>
        <w:rPr>
          <w:sz w:val="20"/>
          <w:szCs w:val="20"/>
          <w:color w:val="auto"/>
        </w:rPr>
      </w:pP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Power to Indemnify in Actions, Suits or Proceedings other than Those by or in the Right of the Company</w:t>
      </w:r>
      <w:r>
        <w:rPr>
          <w:rFonts w:ascii="Times New Roman" w:cs="Times New Roman" w:eastAsia="Times New Roman" w:hAnsi="Times New Roman"/>
          <w:sz w:val="14"/>
          <w:szCs w:val="14"/>
          <w:color w:val="auto"/>
        </w:rPr>
        <w:t>. Subject to the other provisions of this Article V, and subject to applicable law, the Company shall indemnify any person made or threatened to be made a party to an action or proceeding (other than one by or in the right of the Company to procure a judgment in its favor), whether civil or criminal, including an action by or in the right of any other corporation of any type or kind, domestic or foreign, or any partnership, joint venture, trust, employee benefit plan or other enterprise, which any director or officer of the Company served in any capacity at the request of the Company, by reason of the fact that such person, his or her testator or intestate, was a director or officer of the Company, or served such other corporation, partnership, joint venture, trust, employee benefit plan or other enterprise in any capacity, against judgments, fines, amounts paid in settlement and reasonable expenses, including attorneys’ fees actually and necessarily incurred as a result of such action or proceeding, or any appeal therein, if such director or officer acted, in good faith, for a purpose which such person reasonably believed to be in, or, in the case of service for any other corporation or any partnership, joint venture, trust, employee benefit plan or other enterprise, not opposed to, the best interests of the Company, and had no reasonable cause to believe that such person’s conduct was unlawful. </w:t>
      </w:r>
    </w:p>
    <w:p>
      <w:pPr>
        <w:spacing w:after="0" w:line="151" w:lineRule="exact"/>
        <w:rPr>
          <w:sz w:val="20"/>
          <w:szCs w:val="20"/>
          <w:color w:val="auto"/>
        </w:rPr>
      </w:pPr>
    </w:p>
    <w:p>
      <w:pPr>
        <w:jc w:val="both"/>
        <w:ind w:left="340" w:right="359" w:firstLine="749"/>
        <w:spacing w:after="0" w:line="248" w:lineRule="auto"/>
        <w:rPr>
          <w:sz w:val="20"/>
          <w:szCs w:val="20"/>
          <w:color w:val="auto"/>
        </w:rPr>
      </w:pPr>
      <w:r>
        <w:rPr>
          <w:rFonts w:ascii="Times New Roman" w:cs="Times New Roman" w:eastAsia="Times New Roman" w:hAnsi="Times New Roman"/>
          <w:sz w:val="14"/>
          <w:szCs w:val="14"/>
          <w:u w:val="single" w:color="auto"/>
          <w:color w:val="auto"/>
        </w:rPr>
        <w:t>Section 5.02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Power to Indemnify in Actions, Suits or Proceedings by or in the Right of the Company</w:t>
      </w:r>
      <w:r>
        <w:rPr>
          <w:rFonts w:ascii="Times New Roman" w:cs="Times New Roman" w:eastAsia="Times New Roman" w:hAnsi="Times New Roman"/>
          <w:sz w:val="14"/>
          <w:szCs w:val="14"/>
          <w:color w:val="auto"/>
        </w:rPr>
        <w:t>. Subject to the other provisions of this Article V, and subject to applicable law, the Company shall indemnify any person made, or threatened to be made, a party to an action by or in the right of the Company to procure a judgment in its favor by reason of the fact that such person, his or her testator or intestate, is or was a director or officer of the Company, or is or was serving at the request of the Company as a director or officer of any other corporation of any type or kind, domestic or foreign, of any partnership, joint venture, trust, employee benefit plan or other enterprise,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- 6 -</w:t>
      </w:r>
    </w:p>
    <w:p>
      <w:pPr>
        <w:sectPr>
          <w:pgSz w:w="11900" w:h="16838" w:orient="portrait"/>
          <w:cols w:equalWidth="0" w:num="1">
            <w:col w:w="9019"/>
          </w:cols>
          <w:pgMar w:left="1440" w:top="239" w:right="1440" w:bottom="1440" w:gutter="0" w:footer="0" w:header="0"/>
        </w:sectPr>
      </w:pPr>
    </w:p>
    <w:bookmarkStart w:id="127" w:name="page128"/>
    <w:bookmarkEnd w:id="127"/>
    <w:p>
      <w:pPr>
        <w:jc w:val="both"/>
        <w:ind w:left="340" w:right="359"/>
        <w:spacing w:after="0" w:line="24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against amounts paid in settlement and reasonable expenses, including attorneys’ fees, actually and necessarily incurred by such person in connection with the defense or settlement of such action, or in connection with an appeal therein, if such director or officer acted, in good faith, for a purpose which he reasonably believed to be in, or, in the case of service for any other corporation or any partnership, joint venture, trust, employee benefit plan or other enterprise, not opposed to, the best interests of the Company, except that no indemnification under this Section 5.02 shall be made in respect of (a) a threatened action, or a pending action which is settled or otherwise disposed of, or (b) any claim, issue or matter as to which such person shall have been adjudged to be liable to the Company, unless and only to the extent that the court in which the action was brought, or, if no action was brought, any court of competent jurisdiction, determines upon application that, in view of all the circumstances of the case, the person is fairly and reasonably entitled to indemnity for such portion of the settlement amount and expenses as the court deems proper.</w:t>
      </w:r>
    </w:p>
    <w:p>
      <w:pPr>
        <w:spacing w:after="0" w:line="149" w:lineRule="exact"/>
        <w:rPr>
          <w:sz w:val="20"/>
          <w:szCs w:val="20"/>
          <w:color w:val="auto"/>
        </w:rPr>
      </w:pPr>
    </w:p>
    <w:p>
      <w:pPr>
        <w:jc w:val="both"/>
        <w:ind w:left="340" w:right="359" w:firstLine="749"/>
        <w:spacing w:after="0" w:line="290" w:lineRule="auto"/>
        <w:rPr>
          <w:sz w:val="20"/>
          <w:szCs w:val="20"/>
          <w:color w:val="auto"/>
        </w:rPr>
      </w:pPr>
      <w:r>
        <w:rPr>
          <w:rFonts w:ascii="Times New Roman" w:cs="Times New Roman" w:eastAsia="Times New Roman" w:hAnsi="Times New Roman"/>
          <w:sz w:val="12"/>
          <w:szCs w:val="12"/>
          <w:u w:val="single" w:color="auto"/>
          <w:color w:val="auto"/>
        </w:rPr>
        <w:t>Section 5.03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Authorization of Indemnification</w:t>
      </w:r>
      <w:r>
        <w:rPr>
          <w:rFonts w:ascii="Times New Roman" w:cs="Times New Roman" w:eastAsia="Times New Roman" w:hAnsi="Times New Roman"/>
          <w:sz w:val="12"/>
          <w:szCs w:val="12"/>
          <w:color w:val="auto"/>
        </w:rPr>
        <w:t>. Any indemnification under this Article V (unless ordered by a court) shall be made by the Company only if authorized in the specific case (i) by the Board acting by a quorum consisting of directors who are not parties to such action or proceeding upon a finding that the director or officer has met the standard of conduct set forth in Section 5.01 or Section 5.02, as the case may be; or</w:t>
      </w:r>
    </w:p>
    <w:p>
      <w:pPr>
        <w:spacing w:after="0" w:line="1" w:lineRule="exact"/>
        <w:rPr>
          <w:sz w:val="20"/>
          <w:szCs w:val="20"/>
          <w:color w:val="auto"/>
        </w:rPr>
      </w:pPr>
    </w:p>
    <w:p>
      <w:pPr>
        <w:jc w:val="both"/>
        <w:ind w:left="340" w:right="359" w:firstLine="1"/>
        <w:spacing w:after="0" w:line="244" w:lineRule="auto"/>
        <w:tabs>
          <w:tab w:leader="none" w:pos="54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quorum is not obtainable or, even if obtainable, a quorum of disinterested directors so directs, (x) by the Board upon the opinion in writing of independent legal counsel that indemnification is proper in the circumstances because the applicable standard of conduct set forth in Section 5.01 or Section 5.02, as the case may be, has been met by such director or officer; or (y) by the stockholders upon a finding that the director or officer has met the applicable standard of conduct set forth in Section 5.01 or Section 5.02, as the case may be. A person who has been successful on the merits or otherwise, in the defense of a civil or criminal action or proceeding of the character described in Sections 5.01 or 5.02, shall be entitled to indemnification as authorized in such section.</w:t>
      </w:r>
    </w:p>
    <w:p>
      <w:pPr>
        <w:spacing w:after="0" w:line="149" w:lineRule="exact"/>
        <w:rPr>
          <w:sz w:val="20"/>
          <w:szCs w:val="20"/>
          <w:color w:val="auto"/>
        </w:rPr>
      </w:pPr>
    </w:p>
    <w:p>
      <w:pPr>
        <w:jc w:val="both"/>
        <w:ind w:left="340" w:right="359" w:firstLine="749"/>
        <w:spacing w:after="0" w:line="246" w:lineRule="auto"/>
        <w:rPr>
          <w:sz w:val="20"/>
          <w:szCs w:val="20"/>
          <w:color w:val="auto"/>
        </w:rPr>
      </w:pPr>
      <w:r>
        <w:rPr>
          <w:rFonts w:ascii="Times New Roman" w:cs="Times New Roman" w:eastAsia="Times New Roman" w:hAnsi="Times New Roman"/>
          <w:sz w:val="14"/>
          <w:szCs w:val="14"/>
          <w:u w:val="single" w:color="auto"/>
          <w:color w:val="auto"/>
        </w:rPr>
        <w:t>Section 5.04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Good Faith Defined</w:t>
      </w:r>
      <w:r>
        <w:rPr>
          <w:rFonts w:ascii="Times New Roman" w:cs="Times New Roman" w:eastAsia="Times New Roman" w:hAnsi="Times New Roman"/>
          <w:sz w:val="14"/>
          <w:szCs w:val="14"/>
          <w:color w:val="auto"/>
        </w:rPr>
        <w:t>. For purposes of any determination under Section 5.03, a person shall be deemed to have acted in good faith and in a manner such person reasonably believed to be in or not opposed to the best interests of the Company, or to have had no reasonable cause to believe such person’s conduct was unlawful, if such person’s action is based on the records or books of account of the Company or another enterprise, or on information supplied to such person by the officers of the Company or another enterprise in the course of their duties, or on the advice of legal counsel for the Company or another enterprise or on information or records given or reports made to the Company or another enterprise by an independent certified public accountant or by an appraiser or other expert selected with reasonable care by the Company or another enterprise. The provisions of this Section 5.04 shall not be deemed to be exclusive or to limit in any way the circumstances in which a person may be deemed to have met the applicable standard of conduct set forth in Section 5.01 or Section 5.02, as the case may be.</w:t>
      </w:r>
    </w:p>
    <w:p>
      <w:pPr>
        <w:spacing w:after="0" w:line="149" w:lineRule="exact"/>
        <w:rPr>
          <w:sz w:val="20"/>
          <w:szCs w:val="20"/>
          <w:color w:val="auto"/>
        </w:rPr>
      </w:pPr>
    </w:p>
    <w:p>
      <w:pPr>
        <w:jc w:val="both"/>
        <w:ind w:left="340" w:right="359" w:firstLine="749"/>
        <w:spacing w:after="0" w:line="247" w:lineRule="auto"/>
        <w:rPr>
          <w:sz w:val="20"/>
          <w:szCs w:val="20"/>
          <w:color w:val="auto"/>
        </w:rPr>
      </w:pPr>
      <w:r>
        <w:rPr>
          <w:rFonts w:ascii="Times New Roman" w:cs="Times New Roman" w:eastAsia="Times New Roman" w:hAnsi="Times New Roman"/>
          <w:sz w:val="14"/>
          <w:szCs w:val="14"/>
          <w:u w:val="single" w:color="auto"/>
          <w:color w:val="auto"/>
        </w:rPr>
        <w:t>Section 5.05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Serving an Employee Benefit Plan on behalf of the Company</w:t>
      </w:r>
      <w:r>
        <w:rPr>
          <w:rFonts w:ascii="Times New Roman" w:cs="Times New Roman" w:eastAsia="Times New Roman" w:hAnsi="Times New Roman"/>
          <w:sz w:val="14"/>
          <w:szCs w:val="14"/>
          <w:color w:val="auto"/>
        </w:rPr>
        <w:t>. For the purpose of this Article V, the Company shall be deemed to have requested a person to serve an employee benefit plan where the performance by such person of his duties to the Company also imposes duties on, or otherwise involves services by, such person to the plan or participants or beneficiaries of the plan; excise taxes assessed on a person with respect to an employee benefit plan pursuant to applicable law shall be considered fines; and action taken or omitted by a person with respect to an employee benefit plan in the performance of such person’s duties for a purpose reasonably believed by such person to be in the interest of the participants and beneficiaries of the plan shall be deemed to be for a purpose which is not opposed to the best interests of the Company.</w:t>
      </w:r>
    </w:p>
    <w:p>
      <w:pPr>
        <w:spacing w:after="0" w:line="149" w:lineRule="exact"/>
        <w:rPr>
          <w:sz w:val="20"/>
          <w:szCs w:val="20"/>
          <w:color w:val="auto"/>
        </w:rPr>
      </w:pPr>
    </w:p>
    <w:p>
      <w:pPr>
        <w:jc w:val="both"/>
        <w:ind w:left="340" w:right="359" w:firstLine="749"/>
        <w:spacing w:after="0" w:line="348" w:lineRule="auto"/>
        <w:rPr>
          <w:sz w:val="20"/>
          <w:szCs w:val="20"/>
          <w:color w:val="auto"/>
        </w:rPr>
      </w:pPr>
      <w:r>
        <w:rPr>
          <w:rFonts w:ascii="Times New Roman" w:cs="Times New Roman" w:eastAsia="Times New Roman" w:hAnsi="Times New Roman"/>
          <w:sz w:val="12"/>
          <w:szCs w:val="12"/>
          <w:u w:val="single" w:color="auto"/>
          <w:color w:val="auto"/>
        </w:rPr>
        <w:t>Section 5.06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Indemnification upon Application to a Court</w:t>
      </w:r>
      <w:r>
        <w:rPr>
          <w:rFonts w:ascii="Times New Roman" w:cs="Times New Roman" w:eastAsia="Times New Roman" w:hAnsi="Times New Roman"/>
          <w:sz w:val="12"/>
          <w:szCs w:val="12"/>
          <w:color w:val="auto"/>
        </w:rPr>
        <w:t>. Notwithstanding the failure of the Company to provide indemnification and despite any contrary resolution of the Board or stockholders under Section 5.03, or in the event that no determination has been made within ninety</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- 7 -</w:t>
      </w:r>
    </w:p>
    <w:p>
      <w:pPr>
        <w:sectPr>
          <w:pgSz w:w="11900" w:h="16838" w:orient="portrait"/>
          <w:cols w:equalWidth="0" w:num="1">
            <w:col w:w="9019"/>
          </w:cols>
          <w:pgMar w:left="1440" w:top="239" w:right="1440" w:bottom="1440" w:gutter="0" w:footer="0" w:header="0"/>
        </w:sectPr>
      </w:pPr>
    </w:p>
    <w:bookmarkStart w:id="128" w:name="page129"/>
    <w:bookmarkEnd w:id="128"/>
    <w:p>
      <w:pPr>
        <w:jc w:val="both"/>
        <w:ind w:left="340" w:right="35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204075" cy="31750"/>
                    </a:xfrm>
                    <a:prstGeom prst="rect">
                      <a:avLst/>
                    </a:prstGeom>
                    <a:noFill/>
                  </pic:spPr>
                </pic:pic>
              </a:graphicData>
            </a:graphic>
          </wp:anchor>
        </w:drawing>
        <w:t>days after receipt of the Company of a written claim therefor, upon application to a court by a director or officer, indemnification shall be awarded by a court to the extent authorized in Section 5.01 or Section 5.02. Such application shall be upon notice to the Company. Neither a contrary determination in the specific case under Section 5.03 nor the absence of any determination thereunder shall be a defense to such application or create a presumption that the director or officer seeking indemnification has not met any applicable standard of conduct.</w:t>
      </w:r>
    </w:p>
    <w:p>
      <w:pPr>
        <w:spacing w:after="0" w:line="145" w:lineRule="exact"/>
        <w:rPr>
          <w:sz w:val="20"/>
          <w:szCs w:val="20"/>
          <w:color w:val="auto"/>
        </w:rPr>
      </w:pPr>
    </w:p>
    <w:p>
      <w:pPr>
        <w:jc w:val="both"/>
        <w:ind w:left="340" w:right="359" w:firstLine="749"/>
        <w:spacing w:after="0" w:line="245" w:lineRule="auto"/>
        <w:rPr>
          <w:sz w:val="20"/>
          <w:szCs w:val="20"/>
          <w:color w:val="auto"/>
        </w:rPr>
      </w:pPr>
      <w:r>
        <w:rPr>
          <w:rFonts w:ascii="Times New Roman" w:cs="Times New Roman" w:eastAsia="Times New Roman" w:hAnsi="Times New Roman"/>
          <w:sz w:val="14"/>
          <w:szCs w:val="14"/>
          <w:u w:val="single" w:color="auto"/>
          <w:color w:val="auto"/>
        </w:rPr>
        <w:t>Section 5.07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Expenses Payable in Advance</w:t>
      </w:r>
      <w:r>
        <w:rPr>
          <w:rFonts w:ascii="Times New Roman" w:cs="Times New Roman" w:eastAsia="Times New Roman" w:hAnsi="Times New Roman"/>
          <w:sz w:val="14"/>
          <w:szCs w:val="14"/>
          <w:color w:val="auto"/>
        </w:rPr>
        <w:t>. Subject to the other provisions of this Article V, and subject to applicable law, expenses incurred in defending a civil or criminal action or proceeding may be paid by the Company in advance of the final disposition of such action or proceeding upon receipt of an undertaking by or on behalf of such director or officer to repay such amount (i) if it shall ultimately be determined that such person is not entitled to be indemnified by the Company as authorized in this Article V, (ii) where indemnification is granted, to the extent expenses so advanced by the Company or allowed by a court exceed the indemnification to which such person is entitled and (iii) upon such other terms and conditions, if any, as the Company deems appropriate. Any such advancement of expenses shall be made in the sole and absolute discretion of the Company only as authorized in the specific case upon a determination made, with respect to a person who is a director or officer at the time of such determination, (i) by the Board acting by a quorum consisting of directors who are not parties to such action or proceeding, or (ii) if a quorum is not obtainable or, even if obtainable, if a quorum of disinterested directors so directs, (x) by the Board upon the opinion in writing of independent legal counsel or (y) by the stockholders and, with respect to former directors and officers, by any person or persons having the authority to act on the matter on behalf of the Company. Without limiting the foregoing, the Company reserves the right in its sole and absolute discretion to revoke at any time any approval previously granted in respect of any such request for the advancement of expenses or to, in its sole and absolute discretion, impose limits or conditions in respect of any such approval.</w:t>
      </w:r>
    </w:p>
    <w:p>
      <w:pPr>
        <w:spacing w:after="0" w:line="149" w:lineRule="exact"/>
        <w:rPr>
          <w:sz w:val="20"/>
          <w:szCs w:val="20"/>
          <w:color w:val="auto"/>
        </w:rPr>
      </w:pPr>
    </w:p>
    <w:p>
      <w:pPr>
        <w:jc w:val="both"/>
        <w:ind w:left="340" w:right="359" w:firstLine="749"/>
        <w:spacing w:after="0" w:line="246" w:lineRule="auto"/>
        <w:rPr>
          <w:sz w:val="20"/>
          <w:szCs w:val="20"/>
          <w:color w:val="auto"/>
        </w:rPr>
      </w:pPr>
      <w:r>
        <w:rPr>
          <w:rFonts w:ascii="Times New Roman" w:cs="Times New Roman" w:eastAsia="Times New Roman" w:hAnsi="Times New Roman"/>
          <w:sz w:val="14"/>
          <w:szCs w:val="14"/>
          <w:u w:val="single" w:color="auto"/>
          <w:color w:val="auto"/>
        </w:rPr>
        <w:t>Section 5.08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Nonexclusivity of Indemnification and Advancement of Expenses</w:t>
      </w:r>
      <w:r>
        <w:rPr>
          <w:rFonts w:ascii="Times New Roman" w:cs="Times New Roman" w:eastAsia="Times New Roman" w:hAnsi="Times New Roman"/>
          <w:sz w:val="14"/>
          <w:szCs w:val="14"/>
          <w:color w:val="auto"/>
        </w:rPr>
        <w:t>. The indemnification and advancement of expenses granted pursuant to, or provided by, this Article V shall not be deemed exclusive of any other rights to which a director or officer seeking indemnification or advancement of expenses may be entitled whether contained in the Company’s Organization Certificate, these By-Laws or, when authorized by the Organization Certificate or these By-Laws, (i) a resolution of stockholders, (ii) a resolution of directors, or (iii) an agreement providing for such indemnification, provided that no indemnification may be made to or on behalf of any director or officer if a judgment or other final adjudication adverse to the director or officer establishes that his acts were committed in bad faith or were the result of active and deliberate dishonesty and were material to the cause of action so adjudicated, or that he personally gained in fact a financial profit or other advantage to which he was not legally entitled. Nothing contained in this Article V shall affect any rights to indemnification to which corporate personnel other than directors and officers may be entitled by contract or otherwise under law.</w:t>
      </w:r>
    </w:p>
    <w:p>
      <w:pPr>
        <w:spacing w:after="0" w:line="147" w:lineRule="exact"/>
        <w:rPr>
          <w:sz w:val="20"/>
          <w:szCs w:val="20"/>
          <w:color w:val="auto"/>
        </w:rPr>
      </w:pPr>
    </w:p>
    <w:p>
      <w:pPr>
        <w:jc w:val="both"/>
        <w:ind w:left="340" w:right="359" w:firstLine="749"/>
        <w:spacing w:after="0" w:line="246" w:lineRule="auto"/>
        <w:rPr>
          <w:sz w:val="20"/>
          <w:szCs w:val="20"/>
          <w:color w:val="auto"/>
        </w:rPr>
      </w:pPr>
      <w:r>
        <w:rPr>
          <w:rFonts w:ascii="Times New Roman" w:cs="Times New Roman" w:eastAsia="Times New Roman" w:hAnsi="Times New Roman"/>
          <w:sz w:val="14"/>
          <w:szCs w:val="14"/>
          <w:u w:val="single" w:color="auto"/>
          <w:color w:val="auto"/>
        </w:rPr>
        <w:t>Section 5.09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Subject to the other provisions of this Article V, the Company may purchase and maintain insurance (in a single contract or supplement thereto, but not in a retrospective rated contract): (i) to indemnify the Company for any obligation which it incurs as a result of the indemnification of directors and officers under the provisions of this Article V, (ii) to indemnify directors and officers in instances in which they may be indemnified by the Company under the provisions of this Article V and applicable law, and (iii) to indemnify directors and officers in instances in which they may not otherwise be indemnified by the Company under the provisions of this Article V, provided the contract of insurance covering such directors and officers provides, in a manner acceptable to the New York Superintendent of Financial Services, for a retention amount and for co-insurance. Notwithstanding the foregoing, any such insurance shall be subject to the provisions of, and the Company shall comply with the requirements set forth in, Section 7023 of the New York State Banking Law.</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- 8 -</w:t>
      </w:r>
    </w:p>
    <w:p>
      <w:pPr>
        <w:sectPr>
          <w:pgSz w:w="11900" w:h="16838" w:orient="portrait"/>
          <w:cols w:equalWidth="0" w:num="1">
            <w:col w:w="9019"/>
          </w:cols>
          <w:pgMar w:left="1440" w:top="239" w:right="1440" w:bottom="1440" w:gutter="0" w:footer="0" w:header="0"/>
        </w:sectPr>
      </w:pPr>
    </w:p>
    <w:bookmarkStart w:id="129" w:name="page130"/>
    <w:bookmarkEnd w:id="129"/>
    <w:p>
      <w:pPr>
        <w:jc w:val="both"/>
        <w:ind w:left="340" w:right="359" w:firstLine="749"/>
        <w:spacing w:after="0" w:line="290" w:lineRule="auto"/>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7204075" cy="31750"/>
                    </a:xfrm>
                    <a:prstGeom prst="rect">
                      <a:avLst/>
                    </a:prstGeom>
                    <a:noFill/>
                  </pic:spPr>
                </pic:pic>
              </a:graphicData>
            </a:graphic>
          </wp:anchor>
        </w:drawing>
        <w:t>Section 5.10</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Limitations on Indemnification and Insurance</w:t>
      </w:r>
      <w:r>
        <w:rPr>
          <w:rFonts w:ascii="Times New Roman" w:cs="Times New Roman" w:eastAsia="Times New Roman" w:hAnsi="Times New Roman"/>
          <w:sz w:val="12"/>
          <w:szCs w:val="12"/>
          <w:color w:val="auto"/>
        </w:rPr>
        <w:t>. All indemnification and insurance provisions contained in this Article V are subject to any limitations and prohibitions under applicable law, including but not limited to Section 7022 (with respect to indemnification, advancement or allowance) and Section 7023 (with respect to insurance) of the New York State Banking Law and the Federal Deposit Insurance Act (with respect to administrative proceedings or civil actions initiated by any federal banking agency). Notwithstanding anything contained in this Article V to the contrary, no indemnification, advancement or allowance shall be made (i) to or on behalf of any director or officer if a judgment or other final adjudication adverse to the director or officer establishes that his acts were committed in bad faith or were the result of active and deliberate dishonesty and were material to the cause of action so adjudicated, or that he personally gained in fact a financial profit or other advantage to which he was not legally entitled, or (ii) in any circumstance where it appears (a) that the indemnification would be inconsistent with a provision of the Company’s Organization Certificate, these By-Laws, a resolution of the Board or of the stockholders, an agreement or other proper corporate action, in effect at the time of the accrual of the alleged cause of action asserted in the threatened or pending action or proceeding in which the expenses were incurred or other amounts were paid, which prohibits or otherwise limits indemnification; or (b) if there has been a settlement approved by the court, that the indemnification would be inconsistent with any condition with respect to indemnification expressly imposed by the court in approving the settlement.</w:t>
      </w:r>
    </w:p>
    <w:p>
      <w:pPr>
        <w:spacing w:after="0" w:line="288" w:lineRule="exact"/>
        <w:rPr>
          <w:sz w:val="20"/>
          <w:szCs w:val="20"/>
          <w:color w:val="auto"/>
        </w:rPr>
      </w:pPr>
    </w:p>
    <w:p>
      <w:pPr>
        <w:jc w:val="both"/>
        <w:ind w:left="340" w:right="359" w:firstLine="749"/>
        <w:spacing w:after="0" w:line="244" w:lineRule="auto"/>
        <w:rPr>
          <w:sz w:val="20"/>
          <w:szCs w:val="20"/>
          <w:color w:val="auto"/>
        </w:rPr>
      </w:pPr>
      <w:r>
        <w:rPr>
          <w:rFonts w:ascii="Times New Roman" w:cs="Times New Roman" w:eastAsia="Times New Roman" w:hAnsi="Times New Roman"/>
          <w:sz w:val="14"/>
          <w:szCs w:val="14"/>
          <w:color w:val="auto"/>
        </w:rPr>
        <w:t>Notwithstanding anything contained in this Article V to the contrary, but subject to any requirements of applicable law, (i) except for proceedings to enforce rights to indemnification (which shall be governed by Section 5.06), the Company shall not be obligated to indemnify any director or officer (or his testators intestate) or advance expenses in connection with a proceeding (or part thereof) initiated by such person unless such proceeding (or part thereof) was authorized or consented to by the Board of Directors of the Company, (ii) with respect to indemnification or advancement of expenses relating to attorneys’ fees under this Article V, counsel for the present or former director or officer must be reasonably acceptable to the Company (and the Company may, in its sole and absolute discretion, establish a panel of approved law firms for such purpose, out of which the present or former director or officer could be required to select an approved law firm to represent him), (iii) indemnification in respect of amounts paid in settlement shall be subject to the prior consent of the Company (not to be unreasonably withheld), (iv) any and all obligations of the Corporation under this Article V shall be subject to applicable law, (v) in no event shall any payments pursuant to this Article V be made if duplicative of any indemnification or advancement of expenses or other reimbursement available to the applicable director or officer (other than for coverage maintained by such person in his individual capacity), and (vi) no indemnification or advancement of expenses shall be provided under these By-Laws to any person in respect of any expenses, judgments, fines or amounts paid in settlement to the extent incurred by such person in his capacity or position with another entity (including, without limitation, an entity that is a stockholder of the Company or any of the branches or affiliates of such stockholder), except as expressly provided in these By-Laws in respect of such person’s capacity and position as a director or officer of the Company or such person is a director or officer of the Company serving at the request of the Company as a director, officer, employee or agent of another corporation, partnership, joint venture, trust or other enterprise.</w:t>
      </w:r>
    </w:p>
    <w:p>
      <w:pPr>
        <w:spacing w:after="0" w:line="157" w:lineRule="exact"/>
        <w:rPr>
          <w:sz w:val="20"/>
          <w:szCs w:val="20"/>
          <w:color w:val="auto"/>
        </w:rPr>
      </w:pPr>
    </w:p>
    <w:p>
      <w:pPr>
        <w:jc w:val="both"/>
        <w:ind w:left="340" w:right="359" w:firstLine="749"/>
        <w:spacing w:after="0" w:line="248" w:lineRule="auto"/>
        <w:rPr>
          <w:sz w:val="20"/>
          <w:szCs w:val="20"/>
          <w:color w:val="auto"/>
        </w:rPr>
      </w:pPr>
      <w:r>
        <w:rPr>
          <w:rFonts w:ascii="Times New Roman" w:cs="Times New Roman" w:eastAsia="Times New Roman" w:hAnsi="Times New Roman"/>
          <w:sz w:val="14"/>
          <w:szCs w:val="14"/>
          <w:u w:val="single" w:color="auto"/>
          <w:color w:val="auto"/>
        </w:rPr>
        <w:t>Section 5.11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Indemnification of Other Persons</w:t>
      </w:r>
      <w:r>
        <w:rPr>
          <w:rFonts w:ascii="Times New Roman" w:cs="Times New Roman" w:eastAsia="Times New Roman" w:hAnsi="Times New Roman"/>
          <w:sz w:val="14"/>
          <w:szCs w:val="14"/>
          <w:color w:val="auto"/>
        </w:rPr>
        <w:t>. The Company may, to the extent authorized from time to time by the Board of Directors, provide rights to indemnification and to the advancement of expenses (whether pursuant to an adoption of a policy or otherwise) to employees and agents of the Company (whether similar to those conferred in this Article V upon directors and officers of the Company or on other terms and conditions authorized from time to time by the Board of Directors), as well as to employees of direct and indirect subsidiaries of the Company and to other persons (or categories of persons) approved from time to time by the Board of Directors.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- 9 -</w:t>
      </w:r>
    </w:p>
    <w:p>
      <w:pPr>
        <w:sectPr>
          <w:pgSz w:w="11900" w:h="16838" w:orient="portrait"/>
          <w:cols w:equalWidth="0" w:num="1">
            <w:col w:w="9019"/>
          </w:cols>
          <w:pgMar w:left="1440" w:top="239" w:right="1440" w:bottom="1440" w:gutter="0" w:footer="0" w:header="0"/>
        </w:sectPr>
      </w:pPr>
    </w:p>
    <w:bookmarkStart w:id="130" w:name="page131"/>
    <w:bookmarkEnd w:id="130"/>
    <w:p>
      <w:pPr>
        <w:jc w:val="both"/>
        <w:ind w:left="340" w:right="359" w:firstLine="749"/>
        <w:spacing w:after="0" w:line="253" w:lineRule="auto"/>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204075" cy="31750"/>
                    </a:xfrm>
                    <a:prstGeom prst="rect">
                      <a:avLst/>
                    </a:prstGeom>
                    <a:noFill/>
                  </pic:spPr>
                </pic:pic>
              </a:graphicData>
            </a:graphic>
          </wp:anchor>
        </w:drawing>
        <w:t>Section 5.12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Repeal</w:t>
      </w:r>
      <w:r>
        <w:rPr>
          <w:rFonts w:ascii="Times New Roman" w:cs="Times New Roman" w:eastAsia="Times New Roman" w:hAnsi="Times New Roman"/>
          <w:sz w:val="14"/>
          <w:szCs w:val="14"/>
          <w:color w:val="auto"/>
        </w:rPr>
        <w:t>. Any repeal or modification of this Article V shall not adversely affect any rights to indemnification and to the advancement of expenses of a director, officer, employee or agent of the Company existing at the time of such repeal or modification with respect to any acts or omissions occurring prior to such repeal or modification.</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VI</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CAPITAL STOCK</w:t>
      </w:r>
    </w:p>
    <w:p>
      <w:pPr>
        <w:spacing w:after="0" w:line="166" w:lineRule="exact"/>
        <w:rPr>
          <w:sz w:val="20"/>
          <w:szCs w:val="20"/>
          <w:color w:val="auto"/>
        </w:rPr>
      </w:pPr>
    </w:p>
    <w:p>
      <w:pPr>
        <w:jc w:val="both"/>
        <w:ind w:left="340" w:right="359" w:firstLine="749"/>
        <w:spacing w:after="0" w:line="245" w:lineRule="auto"/>
        <w:rPr>
          <w:sz w:val="20"/>
          <w:szCs w:val="20"/>
          <w:color w:val="auto"/>
        </w:rPr>
      </w:pP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Certificates</w:t>
      </w:r>
      <w:r>
        <w:rPr>
          <w:rFonts w:ascii="Times New Roman" w:cs="Times New Roman" w:eastAsia="Times New Roman" w:hAnsi="Times New Roman"/>
          <w:sz w:val="14"/>
          <w:szCs w:val="14"/>
          <w:color w:val="auto"/>
        </w:rPr>
        <w:t>. The interest of each stockholder of the Company shall be evidenced by certificates for shares of stock in such form as the Board of Directors may from time to time prescribe. The certificates of stock shall be signed by the Chairman of the Board or the President or a Managing Director or a Director or a Vice President and by the Secretary, or the Treasurer, or an Assistant Secretary, or an Assistant Treasurer, sealed with the seal of the Company or a facsimile thereof, and countersigned and registered in such manner, if any, as the Board of Directors may by resolution prescribe. Where any such certificate is countersigned by a transfer agent other than the Company or its employee, or registered by a registrar other than the Company or its employee, the signature of any such officer may be a facsimile signature. In case any officer or officers who shall have signed, or whose facsimile signature or signatures shall have been used on, any such certificate or certificates shall cease to be such officer or officers of the Company, whether because of death, resignation, retirement, disqualification, removal or otherwise, before such certificate or certificates shall have been delivered by the Company, such certificate or certificates may nevertheless be adopted by the Company and be issued and delivered as though the person or persons who signed such certificate or certificates or whose facsimile signature or signatures shall have been used thereon had not ceased to be such officer or officers of the Company.</w:t>
      </w:r>
    </w:p>
    <w:p>
      <w:pPr>
        <w:spacing w:after="0" w:line="151" w:lineRule="exact"/>
        <w:rPr>
          <w:sz w:val="20"/>
          <w:szCs w:val="20"/>
          <w:color w:val="auto"/>
        </w:rPr>
      </w:pPr>
    </w:p>
    <w:p>
      <w:pPr>
        <w:jc w:val="both"/>
        <w:ind w:left="340" w:right="359" w:firstLine="749"/>
        <w:spacing w:after="0" w:line="250" w:lineRule="auto"/>
        <w:rPr>
          <w:sz w:val="20"/>
          <w:szCs w:val="20"/>
          <w:color w:val="auto"/>
        </w:rPr>
      </w:pPr>
      <w:r>
        <w:rPr>
          <w:rFonts w:ascii="Times New Roman" w:cs="Times New Roman" w:eastAsia="Times New Roman" w:hAnsi="Times New Roman"/>
          <w:sz w:val="14"/>
          <w:szCs w:val="14"/>
          <w:u w:val="single" w:color="auto"/>
          <w:color w:val="auto"/>
        </w:rPr>
        <w:t>Section 6.02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Transfer</w:t>
      </w:r>
      <w:r>
        <w:rPr>
          <w:rFonts w:ascii="Times New Roman" w:cs="Times New Roman" w:eastAsia="Times New Roman" w:hAnsi="Times New Roman"/>
          <w:sz w:val="14"/>
          <w:szCs w:val="14"/>
          <w:color w:val="auto"/>
        </w:rPr>
        <w:t>. The shares of stock of the Company shall be transferred only upon the books of the Company by the holder thereof in person or by his attorney, upon surrender for cancellation of certificates for the same number of shares, with an assignment and power of transfer endorsed thereon or attached thereto, duly executed, with such proof of the authenticity of the signature as the Company or its agents may reasonably require.</w:t>
      </w:r>
    </w:p>
    <w:p>
      <w:pPr>
        <w:spacing w:after="0" w:line="145" w:lineRule="exact"/>
        <w:rPr>
          <w:sz w:val="20"/>
          <w:szCs w:val="20"/>
          <w:color w:val="auto"/>
        </w:rPr>
      </w:pPr>
    </w:p>
    <w:p>
      <w:pPr>
        <w:jc w:val="both"/>
        <w:ind w:left="340" w:right="359" w:firstLine="749"/>
        <w:spacing w:after="0" w:line="246" w:lineRule="auto"/>
        <w:rPr>
          <w:sz w:val="20"/>
          <w:szCs w:val="20"/>
          <w:color w:val="auto"/>
        </w:rPr>
      </w:pPr>
      <w:r>
        <w:rPr>
          <w:rFonts w:ascii="Times New Roman" w:cs="Times New Roman" w:eastAsia="Times New Roman" w:hAnsi="Times New Roman"/>
          <w:sz w:val="14"/>
          <w:szCs w:val="14"/>
          <w:u w:val="single" w:color="auto"/>
          <w:color w:val="auto"/>
        </w:rPr>
        <w:t>Section 6.03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Record Dates</w:t>
      </w:r>
      <w:r>
        <w:rPr>
          <w:rFonts w:ascii="Times New Roman" w:cs="Times New Roman" w:eastAsia="Times New Roman" w:hAnsi="Times New Roman"/>
          <w:sz w:val="14"/>
          <w:szCs w:val="14"/>
          <w:color w:val="auto"/>
        </w:rPr>
        <w:t>. The Board of Directors may fix in advance a date, not less than 10 nor more than 50 days preceding the date of any meeting of stockholders, or the date for the payment of any dividend, or the date for the distribution or allotment of any rights, or the date when any change, conversion or exchange of capital stock shall go into effect, as a record date for the determination of the stockholders entitled to notice of, and to vote at, any such meeting, or entitled to receive payment of any such dividend, or to receive any distribution or allotment of such rights, or to exercise the rights in respect of any such change, conversion or exchange of capital stock, and in such case only such stockholders as shall be stockholders of record on the date so fixed shall be entitled to such notice of, and to vote at, such meeting, or to receive payment of such dividend, or to receive such distribution or allotment or rights or to exercise such rights, as the case may be, notwithstanding any transfer of any stock on the books of the Company after any such record date fixed as aforesaid.</w:t>
      </w:r>
    </w:p>
    <w:p>
      <w:pPr>
        <w:spacing w:after="0" w:line="149" w:lineRule="exact"/>
        <w:rPr>
          <w:sz w:val="20"/>
          <w:szCs w:val="20"/>
          <w:color w:val="auto"/>
        </w:rPr>
      </w:pPr>
    </w:p>
    <w:p>
      <w:pPr>
        <w:jc w:val="both"/>
        <w:ind w:left="340" w:right="359" w:firstLine="749"/>
        <w:spacing w:after="0" w:line="248" w:lineRule="auto"/>
        <w:rPr>
          <w:sz w:val="20"/>
          <w:szCs w:val="20"/>
          <w:color w:val="auto"/>
        </w:rPr>
      </w:pPr>
      <w:r>
        <w:rPr>
          <w:rFonts w:ascii="Times New Roman" w:cs="Times New Roman" w:eastAsia="Times New Roman" w:hAnsi="Times New Roman"/>
          <w:sz w:val="14"/>
          <w:szCs w:val="14"/>
          <w:u w:val="single" w:color="auto"/>
          <w:color w:val="auto"/>
        </w:rPr>
        <w:t>Section 6.04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Lost Certificates</w:t>
      </w:r>
      <w:r>
        <w:rPr>
          <w:rFonts w:ascii="Times New Roman" w:cs="Times New Roman" w:eastAsia="Times New Roman" w:hAnsi="Times New Roman"/>
          <w:sz w:val="14"/>
          <w:szCs w:val="14"/>
          <w:color w:val="auto"/>
        </w:rPr>
        <w:t>. In the event that any certificate of stock is lost, stolen, destroyed or mutilated, the Board of Directors may authorize the issuance of a new certificate of the same tenor and for the same number of shares in lieu thereof. The Board may in its discretion, before the issuance of such new certificate, require the owner of the lost, stolen, destroyed or mutilated certificate or the legal representative of the owner to make an affidavit or affirmation setting forth such facts as to the loss, destruction or mutilation as it deems necessary and to give the Company a bond in such reasonable sum as it directs to indemnify the Company.</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- 10 -</w:t>
      </w:r>
    </w:p>
    <w:p>
      <w:pPr>
        <w:sectPr>
          <w:pgSz w:w="11900" w:h="16838" w:orient="portrait"/>
          <w:cols w:equalWidth="0" w:num="1">
            <w:col w:w="9019"/>
          </w:cols>
          <w:pgMar w:left="1440" w:top="239" w:right="1440"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ARTICLE VII</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CHECKS, NOTES, ETC.</w:t>
      </w:r>
    </w:p>
    <w:p>
      <w:pPr>
        <w:spacing w:after="0" w:line="166" w:lineRule="exact"/>
        <w:rPr>
          <w:sz w:val="20"/>
          <w:szCs w:val="20"/>
          <w:color w:val="auto"/>
        </w:rPr>
      </w:pPr>
    </w:p>
    <w:p>
      <w:pPr>
        <w:jc w:val="both"/>
        <w:ind w:left="340" w:right="359" w:firstLine="749"/>
        <w:spacing w:after="0" w:line="250" w:lineRule="auto"/>
        <w:rPr>
          <w:sz w:val="20"/>
          <w:szCs w:val="20"/>
          <w:color w:val="auto"/>
        </w:rPr>
      </w:pPr>
      <w:r>
        <w:rPr>
          <w:rFonts w:ascii="Times New Roman" w:cs="Times New Roman" w:eastAsia="Times New Roman" w:hAnsi="Times New Roman"/>
          <w:sz w:val="14"/>
          <w:szCs w:val="14"/>
          <w:u w:val="single" w:color="auto"/>
          <w:color w:val="auto"/>
        </w:rPr>
        <w:t>Section 7.01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Checks, Notes, Etc.</w:t>
      </w:r>
      <w:r>
        <w:rPr>
          <w:rFonts w:ascii="Times New Roman" w:cs="Times New Roman" w:eastAsia="Times New Roman" w:hAnsi="Times New Roman"/>
          <w:sz w:val="14"/>
          <w:szCs w:val="14"/>
          <w:color w:val="auto"/>
        </w:rPr>
        <w:t xml:space="preserve"> All checks and drafts on the Company’s bank accounts and all bills of exchange and promissory notes, and all acceptances, obligations and other instruments for the payment of money, may be signed by the President or any Managing Director or any Director or any Vice President and may also be signed by such other officer or officers, agent or agents, as shall be thereunto authorized from time to time by the Board of Directors.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VIII</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6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Fiscal Year</w:t>
      </w:r>
      <w:r>
        <w:rPr>
          <w:rFonts w:ascii="Times New Roman" w:cs="Times New Roman" w:eastAsia="Times New Roman" w:hAnsi="Times New Roman"/>
          <w:sz w:val="14"/>
          <w:szCs w:val="14"/>
          <w:color w:val="auto"/>
        </w:rPr>
        <w:t>. The fiscal year of the Company shall be from January 1 to December 31, unless changed by the Board of</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Directors.</w:t>
      </w:r>
    </w:p>
    <w:p>
      <w:pPr>
        <w:spacing w:after="0" w:line="154" w:lineRule="exact"/>
        <w:rPr>
          <w:sz w:val="20"/>
          <w:szCs w:val="20"/>
          <w:color w:val="auto"/>
        </w:rPr>
      </w:pPr>
    </w:p>
    <w:p>
      <w:pPr>
        <w:jc w:val="both"/>
        <w:ind w:left="340" w:right="359" w:firstLine="749"/>
        <w:spacing w:after="0" w:line="248" w:lineRule="auto"/>
        <w:rPr>
          <w:sz w:val="20"/>
          <w:szCs w:val="20"/>
          <w:color w:val="auto"/>
        </w:rPr>
      </w:pPr>
      <w:r>
        <w:rPr>
          <w:rFonts w:ascii="Times New Roman" w:cs="Times New Roman" w:eastAsia="Times New Roman" w:hAnsi="Times New Roman"/>
          <w:sz w:val="14"/>
          <w:szCs w:val="14"/>
          <w:u w:val="single" w:color="auto"/>
          <w:color w:val="auto"/>
        </w:rPr>
        <w:t>Section 8.02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Books</w:t>
      </w:r>
      <w:r>
        <w:rPr>
          <w:rFonts w:ascii="Times New Roman" w:cs="Times New Roman" w:eastAsia="Times New Roman" w:hAnsi="Times New Roman"/>
          <w:sz w:val="14"/>
          <w:szCs w:val="14"/>
          <w:color w:val="auto"/>
        </w:rPr>
        <w:t>. There shall be kept at such office of the Company as the Board of Directors shall determine, within or without the State of New York, correct books and records of account of all its business and transactions, minutes of the proceedings of its stockholders, Board of Directors and committees, and the stock book, containing the names and addresses of the stockholders, the number of shares held by them, respectively, and the dates when they respectively became the owners of record thereof, and in which the transfer of stock shall be registered, and such other books and records as the Board of Directors may from time to time determine.</w:t>
      </w:r>
    </w:p>
    <w:p>
      <w:pPr>
        <w:spacing w:after="0" w:line="148" w:lineRule="exact"/>
        <w:rPr>
          <w:sz w:val="20"/>
          <w:szCs w:val="20"/>
          <w:color w:val="auto"/>
        </w:rPr>
      </w:pPr>
    </w:p>
    <w:p>
      <w:pPr>
        <w:jc w:val="both"/>
        <w:ind w:left="340" w:right="359" w:firstLine="749"/>
        <w:spacing w:after="0" w:line="253" w:lineRule="auto"/>
        <w:rPr>
          <w:sz w:val="20"/>
          <w:szCs w:val="20"/>
          <w:color w:val="auto"/>
        </w:rPr>
      </w:pPr>
      <w:r>
        <w:rPr>
          <w:rFonts w:ascii="Times New Roman" w:cs="Times New Roman" w:eastAsia="Times New Roman" w:hAnsi="Times New Roman"/>
          <w:sz w:val="14"/>
          <w:szCs w:val="14"/>
          <w:u w:val="single" w:color="auto"/>
          <w:color w:val="auto"/>
        </w:rPr>
        <w:t>Section 8.03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Voting of Stock</w:t>
      </w:r>
      <w:r>
        <w:rPr>
          <w:rFonts w:ascii="Times New Roman" w:cs="Times New Roman" w:eastAsia="Times New Roman" w:hAnsi="Times New Roman"/>
          <w:sz w:val="14"/>
          <w:szCs w:val="14"/>
          <w:color w:val="auto"/>
        </w:rPr>
        <w:t>. Unless otherwise specifically authorized by the Board of Directors, all stock owned by the Company, other than stock of the Company, shall be voted, in person or by proxy, by the President or any Managing Director or any Director or any Vice President of the Company on behalf of the Company.</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IX</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AMENDMENTS</w:t>
      </w:r>
    </w:p>
    <w:p>
      <w:pPr>
        <w:spacing w:after="0" w:line="166" w:lineRule="exact"/>
        <w:rPr>
          <w:sz w:val="20"/>
          <w:szCs w:val="20"/>
          <w:color w:val="auto"/>
        </w:rPr>
      </w:pPr>
    </w:p>
    <w:p>
      <w:pPr>
        <w:jc w:val="both"/>
        <w:ind w:left="340" w:right="359" w:firstLine="749"/>
        <w:spacing w:after="0" w:line="250" w:lineRule="auto"/>
        <w:rPr>
          <w:sz w:val="20"/>
          <w:szCs w:val="20"/>
          <w:color w:val="auto"/>
        </w:rPr>
      </w:pPr>
      <w:r>
        <w:rPr>
          <w:rFonts w:ascii="Times New Roman" w:cs="Times New Roman" w:eastAsia="Times New Roman" w:hAnsi="Times New Roman"/>
          <w:sz w:val="14"/>
          <w:szCs w:val="14"/>
          <w:u w:val="single" w:color="auto"/>
          <w:color w:val="auto"/>
        </w:rPr>
        <w:t>Section 9.01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Amendments</w:t>
      </w:r>
      <w:r>
        <w:rPr>
          <w:rFonts w:ascii="Times New Roman" w:cs="Times New Roman" w:eastAsia="Times New Roman" w:hAnsi="Times New Roman"/>
          <w:sz w:val="14"/>
          <w:szCs w:val="14"/>
          <w:color w:val="auto"/>
        </w:rPr>
        <w:t>. The vote of the holders of at least a majority of the shares of stock of the Company issued and outstanding and entitled to vote shall be necessary at any meeting of stockholders to amend or repeal these By-Laws or to adopt new by-laws. These By-Laws may also be amended or repealed, or new by-laws adopted, at any meeting of the Board of Directors by the vote of at least a majority of the entire Board, provided that any by-law adopted by the Board may be amended or repealed by the stockholders in the manner set forth above.</w:t>
      </w:r>
    </w:p>
    <w:p>
      <w:pPr>
        <w:spacing w:after="0" w:line="145" w:lineRule="exact"/>
        <w:rPr>
          <w:sz w:val="20"/>
          <w:szCs w:val="20"/>
          <w:color w:val="auto"/>
        </w:rPr>
      </w:pPr>
    </w:p>
    <w:p>
      <w:pPr>
        <w:jc w:val="both"/>
        <w:ind w:left="340" w:right="359" w:firstLine="749"/>
        <w:spacing w:after="0" w:line="253" w:lineRule="auto"/>
        <w:rPr>
          <w:sz w:val="20"/>
          <w:szCs w:val="20"/>
          <w:color w:val="auto"/>
        </w:rPr>
      </w:pPr>
      <w:r>
        <w:rPr>
          <w:rFonts w:ascii="Times New Roman" w:cs="Times New Roman" w:eastAsia="Times New Roman" w:hAnsi="Times New Roman"/>
          <w:sz w:val="14"/>
          <w:szCs w:val="14"/>
          <w:color w:val="auto"/>
        </w:rPr>
        <w:t>Any proposal to amend or repeal these By-Laws or to adopt new by-laws shall be stated in the notice of the meeting of the Board of Directors or the stockholders or in the waiver of notice thereof, as the case may be, unless all of the directors or the holders of record of all of the shares of stock of the Company issued and outstanding and entitled to vote are present at such meeting.</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- 11 -</w:t>
      </w:r>
    </w:p>
    <w:p>
      <w:pPr>
        <w:sectPr>
          <w:pgSz w:w="11900" w:h="16838" w:orient="portrait"/>
          <w:cols w:equalWidth="0" w:num="1">
            <w:col w:w="9019"/>
          </w:cols>
          <w:pgMar w:left="1440" w:top="239" w:right="1440" w:bottom="1440"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70688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204075" cy="7068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6005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7204075" cy="6005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6005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7204075" cy="6005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SHELL FINANCE US INC.</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Offer to Exchange</w:t>
      </w:r>
    </w:p>
    <w:p>
      <w:pPr>
        <w:spacing w:after="0" w:line="166" w:lineRule="exact"/>
        <w:rPr>
          <w:sz w:val="20"/>
          <w:szCs w:val="20"/>
          <w:color w:val="auto"/>
        </w:rPr>
      </w:pPr>
    </w:p>
    <w:p>
      <w:pPr>
        <w:jc w:val="center"/>
        <w:ind w:left="340" w:right="359"/>
        <w:spacing w:after="0" w:line="256" w:lineRule="auto"/>
        <w:rPr>
          <w:sz w:val="20"/>
          <w:szCs w:val="20"/>
          <w:color w:val="auto"/>
        </w:rPr>
      </w:pPr>
      <w:r>
        <w:rPr>
          <w:rFonts w:ascii="Times New Roman" w:cs="Times New Roman" w:eastAsia="Times New Roman" w:hAnsi="Times New Roman"/>
          <w:sz w:val="14"/>
          <w:szCs w:val="14"/>
          <w:b w:val="1"/>
          <w:bCs w:val="1"/>
          <w:color w:val="auto"/>
        </w:rPr>
        <w:t>Up to $920,732,000 3.875% Guaranteed Notes due 2028 (CUSIP U8209LAA0, ISIN USU8209LAA09 / CUSIP 822905AR6, ISIN US822905AR69) for a like principal amount of 3.875% Guaranteed Notes due 2028 registered under the Securities Act of 1933, as amended (the “</w:t>
      </w:r>
      <w:r>
        <w:rPr>
          <w:rFonts w:ascii="Times New Roman" w:cs="Times New Roman" w:eastAsia="Times New Roman" w:hAnsi="Times New Roman"/>
          <w:sz w:val="14"/>
          <w:szCs w:val="14"/>
          <w:b w:val="1"/>
          <w:bCs w:val="1"/>
          <w:u w:val="single" w:color="auto"/>
          <w:color w:val="auto"/>
        </w:rPr>
        <w:t>Securities Act</w:t>
      </w:r>
      <w:r>
        <w:rPr>
          <w:rFonts w:ascii="Times New Roman" w:cs="Times New Roman" w:eastAsia="Times New Roman" w:hAnsi="Times New Roman"/>
          <w:sz w:val="14"/>
          <w:szCs w:val="14"/>
          <w:b w:val="1"/>
          <w:bCs w:val="1"/>
          <w:color w:val="auto"/>
        </w:rPr>
        <w:t>”)</w:t>
      </w:r>
    </w:p>
    <w:p>
      <w:pPr>
        <w:spacing w:after="0" w:line="138" w:lineRule="exact"/>
        <w:rPr>
          <w:sz w:val="20"/>
          <w:szCs w:val="20"/>
          <w:color w:val="auto"/>
        </w:rPr>
      </w:pPr>
    </w:p>
    <w:p>
      <w:pPr>
        <w:jc w:val="center"/>
        <w:ind w:left="340" w:right="359"/>
        <w:spacing w:after="0" w:line="270" w:lineRule="auto"/>
        <w:rPr>
          <w:sz w:val="20"/>
          <w:szCs w:val="20"/>
          <w:color w:val="auto"/>
        </w:rPr>
      </w:pPr>
      <w:r>
        <w:rPr>
          <w:rFonts w:ascii="Times New Roman" w:cs="Times New Roman" w:eastAsia="Times New Roman" w:hAnsi="Times New Roman"/>
          <w:sz w:val="14"/>
          <w:szCs w:val="14"/>
          <w:b w:val="1"/>
          <w:bCs w:val="1"/>
          <w:color w:val="auto"/>
        </w:rPr>
        <w:t>Up to $2,063,148,000 6.375% Guaranteed Notes due 2038 (CUSIP U8209LAB8, ISIN USU8209LAB81 / CUSIP 822905AT2, ISIN US822905AT26) for a like principal amount of 6.375% Guaranteed Notes due 2038 registered under the Securities Act</w:t>
      </w:r>
    </w:p>
    <w:p>
      <w:pPr>
        <w:spacing w:after="0" w:line="128" w:lineRule="exact"/>
        <w:rPr>
          <w:sz w:val="20"/>
          <w:szCs w:val="20"/>
          <w:color w:val="auto"/>
        </w:rPr>
      </w:pPr>
    </w:p>
    <w:p>
      <w:pPr>
        <w:jc w:val="center"/>
        <w:ind w:left="340" w:right="359"/>
        <w:spacing w:after="0" w:line="355" w:lineRule="auto"/>
        <w:rPr>
          <w:sz w:val="20"/>
          <w:szCs w:val="20"/>
          <w:color w:val="auto"/>
        </w:rPr>
      </w:pPr>
      <w:r>
        <w:rPr>
          <w:rFonts w:ascii="Times New Roman" w:cs="Times New Roman" w:eastAsia="Times New Roman" w:hAnsi="Times New Roman"/>
          <w:sz w:val="12"/>
          <w:szCs w:val="12"/>
          <w:b w:val="1"/>
          <w:bCs w:val="1"/>
          <w:color w:val="auto"/>
        </w:rPr>
        <w:t>Up to $802,108,000 5.500% Guaranteed Notes due 2040 (CUSIP U8209LAC6, ISIN USU8209LAC64 / CUSIP 822905AV7, ISIN US822905AV71) for a like principal amount of 5.500% Guaranteed Notes due 2040 registered under the Securities Act</w:t>
      </w:r>
    </w:p>
    <w:p>
      <w:pPr>
        <w:spacing w:after="0" w:line="82" w:lineRule="exact"/>
        <w:rPr>
          <w:sz w:val="20"/>
          <w:szCs w:val="20"/>
          <w:color w:val="auto"/>
        </w:rPr>
      </w:pPr>
    </w:p>
    <w:p>
      <w:pPr>
        <w:jc w:val="center"/>
        <w:ind w:left="1800" w:right="460"/>
        <w:spacing w:after="0" w:line="355" w:lineRule="auto"/>
        <w:rPr>
          <w:sz w:val="20"/>
          <w:szCs w:val="20"/>
          <w:color w:val="auto"/>
        </w:rPr>
      </w:pPr>
      <w:r>
        <w:rPr>
          <w:rFonts w:ascii="Times New Roman" w:cs="Times New Roman" w:eastAsia="Times New Roman" w:hAnsi="Times New Roman"/>
          <w:sz w:val="12"/>
          <w:szCs w:val="12"/>
          <w:b w:val="1"/>
          <w:bCs w:val="1"/>
          <w:color w:val="auto"/>
        </w:rPr>
        <w:t>Up to $691,199,000 5.125% Guaranteed Notes due 2041 (CUSIP U8209LAD4, ISIN USU8209LAD48 / CUSIP 822905AX3, ISIN US822905AX38) for a like principal amount of 5.125% Guaranteed Notes due 2041 registered under the Securities Act</w:t>
      </w:r>
    </w:p>
    <w:p>
      <w:pPr>
        <w:spacing w:after="0" w:line="82" w:lineRule="exact"/>
        <w:rPr>
          <w:sz w:val="20"/>
          <w:szCs w:val="20"/>
          <w:color w:val="auto"/>
        </w:rPr>
      </w:pPr>
    </w:p>
    <w:p>
      <w:pPr>
        <w:jc w:val="center"/>
        <w:ind w:left="340" w:right="359"/>
        <w:spacing w:after="0" w:line="355" w:lineRule="auto"/>
        <w:rPr>
          <w:sz w:val="20"/>
          <w:szCs w:val="20"/>
          <w:color w:val="auto"/>
        </w:rPr>
      </w:pPr>
      <w:r>
        <w:rPr>
          <w:rFonts w:ascii="Times New Roman" w:cs="Times New Roman" w:eastAsia="Times New Roman" w:hAnsi="Times New Roman"/>
          <w:sz w:val="12"/>
          <w:szCs w:val="12"/>
          <w:b w:val="1"/>
          <w:bCs w:val="1"/>
          <w:color w:val="auto"/>
        </w:rPr>
        <w:t>Up to $993,714,000 3.125% Guaranteed Notes due 2049 (CUSIP U8209LAE2, ISIN USU8209LAE21 / CUSIP 822905AZ8, ISIN US822905AZ85) for a like principal amount of 3.125% Guaranteed Notes due 2049 registered under the Securities Act</w:t>
      </w:r>
    </w:p>
    <w:p>
      <w:pPr>
        <w:spacing w:after="0" w:line="82" w:lineRule="exact"/>
        <w:rPr>
          <w:sz w:val="20"/>
          <w:szCs w:val="20"/>
          <w:color w:val="auto"/>
        </w:rPr>
      </w:pPr>
    </w:p>
    <w:p>
      <w:pPr>
        <w:jc w:val="center"/>
        <w:ind w:left="340" w:right="359"/>
        <w:spacing w:after="0" w:line="270" w:lineRule="auto"/>
        <w:rPr>
          <w:sz w:val="20"/>
          <w:szCs w:val="20"/>
          <w:color w:val="auto"/>
        </w:rPr>
      </w:pPr>
      <w:r>
        <w:rPr>
          <w:rFonts w:ascii="Times New Roman" w:cs="Times New Roman" w:eastAsia="Times New Roman" w:hAnsi="Times New Roman"/>
          <w:sz w:val="14"/>
          <w:szCs w:val="14"/>
          <w:b w:val="1"/>
          <w:bCs w:val="1"/>
          <w:color w:val="auto"/>
        </w:rPr>
        <w:t>Up to $876,828,000 3.000% Guaranteed Notes due 2051 (CUSIP U8209LAF9, ISIN USU8209LAF95 / CUSIP 822905BB0, ISIN US822905BB09) for a like principal amount of 3.000% Guaranteed Notes due 2051 registered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156210</wp:posOffset>
            </wp:positionV>
            <wp:extent cx="1114425"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1114425" cy="6350"/>
                    </a:xfrm>
                    <a:prstGeom prst="rect">
                      <a:avLst/>
                    </a:prstGeom>
                    <a:noFill/>
                  </pic:spPr>
                </pic:pic>
              </a:graphicData>
            </a:graphic>
          </wp:anchor>
        </w:drawing>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the Prospectus dated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2026</w:t>
      </w:r>
    </w:p>
    <w:p>
      <w:pPr>
        <w:sectPr>
          <w:pgSz w:w="11900" w:h="16838" w:orient="portrait"/>
          <w:cols w:equalWidth="0" w:num="1">
            <w:col w:w="9019"/>
          </w:cols>
          <w:pgMar w:left="1440" w:top="123" w:right="1440" w:bottom="1440" w:gutter="0" w:footer="0" w:header="0"/>
        </w:sectPr>
      </w:pPr>
    </w:p>
    <w:bookmarkStart w:id="136" w:name="page137"/>
    <w:bookmarkEnd w:id="136"/>
    <w:p>
      <w:pPr>
        <w:ind w:left="46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4470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7204075" cy="447040"/>
                    </a:xfrm>
                    <a:prstGeom prst="rect">
                      <a:avLst/>
                    </a:prstGeom>
                    <a:noFill/>
                  </pic:spPr>
                </pic:pic>
              </a:graphicData>
            </a:graphic>
          </wp:anchor>
        </w:drawing>
        <w:t>EACH EXCHANGE OFFER WILL EXPIRE AT 5:00 P.M., NEW YORK CITY TIME, ON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2026, UNLESS EXTENDED (SUCH TIME</w:t>
      </w:r>
    </w:p>
    <w:p>
      <w:pPr>
        <w:spacing w:after="0" w:line="41" w:lineRule="exact"/>
        <w:rPr>
          <w:sz w:val="20"/>
          <w:szCs w:val="20"/>
          <w:color w:val="auto"/>
        </w:rPr>
      </w:pPr>
    </w:p>
    <w:p>
      <w:pPr>
        <w:ind w:left="460" w:right="939"/>
        <w:spacing w:after="0" w:line="246" w:lineRule="auto"/>
        <w:rPr>
          <w:sz w:val="20"/>
          <w:szCs w:val="20"/>
          <w:color w:val="auto"/>
        </w:rPr>
      </w:pPr>
      <w:r>
        <w:rPr>
          <w:rFonts w:ascii="Times New Roman" w:cs="Times New Roman" w:eastAsia="Times New Roman" w:hAnsi="Times New Roman"/>
          <w:sz w:val="14"/>
          <w:szCs w:val="14"/>
          <w:b w:val="1"/>
          <w:bCs w:val="1"/>
          <w:color w:val="auto"/>
        </w:rPr>
        <w:t>AND DATE, AS THE SAME MAY BE EXTENDED FROM TIME TO TIME, THE “EXPIRATION DATE”). TENDERS MAY BE WITHDRAWN AT ANY TIME PRIOR TO THE EXPIRATION DATE.</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To Our Clients:</w:t>
      </w:r>
    </w:p>
    <w:p>
      <w:pPr>
        <w:spacing w:after="0" w:line="168" w:lineRule="exact"/>
        <w:rPr>
          <w:sz w:val="20"/>
          <w:szCs w:val="20"/>
          <w:color w:val="auto"/>
        </w:rPr>
      </w:pPr>
    </w:p>
    <w:p>
      <w:pPr>
        <w:ind w:left="340" w:right="439"/>
        <w:spacing w:after="0" w:line="250" w:lineRule="auto"/>
        <w:rPr>
          <w:sz w:val="20"/>
          <w:szCs w:val="20"/>
          <w:color w:val="auto"/>
        </w:rPr>
      </w:pPr>
      <w:r>
        <w:rPr>
          <w:rFonts w:ascii="Times New Roman" w:cs="Times New Roman" w:eastAsia="Times New Roman" w:hAnsi="Times New Roman"/>
          <w:sz w:val="14"/>
          <w:szCs w:val="14"/>
          <w:color w:val="auto"/>
        </w:rPr>
        <w:t>Enclosed for your consideration is a prospectus, dated [●], 2026 (as amended or supplemented, the “</w:t>
      </w:r>
      <w:r>
        <w:rPr>
          <w:rFonts w:ascii="Times New Roman" w:cs="Times New Roman" w:eastAsia="Times New Roman" w:hAnsi="Times New Roman"/>
          <w:sz w:val="14"/>
          <w:szCs w:val="14"/>
          <w:u w:val="single" w:color="auto"/>
          <w:color w:val="auto"/>
        </w:rPr>
        <w:t>Prospectus</w:t>
      </w:r>
      <w:r>
        <w:rPr>
          <w:rFonts w:ascii="Times New Roman" w:cs="Times New Roman" w:eastAsia="Times New Roman" w:hAnsi="Times New Roman"/>
          <w:sz w:val="14"/>
          <w:szCs w:val="14"/>
          <w:color w:val="auto"/>
        </w:rPr>
        <w:t>”), relating to the offers (the “</w:t>
      </w:r>
      <w:r>
        <w:rPr>
          <w:rFonts w:ascii="Times New Roman" w:cs="Times New Roman" w:eastAsia="Times New Roman" w:hAnsi="Times New Roman"/>
          <w:sz w:val="14"/>
          <w:szCs w:val="14"/>
          <w:u w:val="single" w:color="auto"/>
          <w:color w:val="auto"/>
        </w:rPr>
        <w:t>Exchange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Offers</w:t>
      </w:r>
      <w:r>
        <w:rPr>
          <w:rFonts w:ascii="Times New Roman" w:cs="Times New Roman" w:eastAsia="Times New Roman" w:hAnsi="Times New Roman"/>
          <w:sz w:val="14"/>
          <w:szCs w:val="14"/>
          <w:color w:val="auto"/>
        </w:rPr>
        <w:t>”) of Shell Finance US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to exchange up to the aggregate principal amount outstanding of each series of Restricted Notes (as defined below) for a like aggregate principal amount of the corresponding series of Exchange Notes (as defined below) in a transaction registered under the Securities Act.</w:t>
      </w:r>
    </w:p>
    <w:p>
      <w:pPr>
        <w:spacing w:after="0" w:line="147" w:lineRule="exact"/>
        <w:rPr>
          <w:sz w:val="20"/>
          <w:szCs w:val="20"/>
          <w:color w:val="auto"/>
        </w:rPr>
      </w:pPr>
    </w:p>
    <w:tbl>
      <w:tblPr>
        <w:tblLayout w:type="fixed"/>
        <w:tblInd w:w="820" w:type="dxa"/>
        <w:tblCellMar>
          <w:top w:w="0" w:type="dxa"/>
          <w:left w:w="0" w:type="dxa"/>
          <w:bottom w:w="0" w:type="dxa"/>
          <w:right w:w="0" w:type="dxa"/>
        </w:tblCellMar>
      </w:tblPr>
      <w:tr>
        <w:trPr>
          <w:trHeight w:val="126"/>
        </w:trPr>
        <w:tc>
          <w:tcPr>
            <w:tcW w:w="180" w:type="dxa"/>
            <w:vAlign w:val="bottom"/>
          </w:tcPr>
          <w:p>
            <w:pPr>
              <w:spacing w:after="0"/>
              <w:rPr>
                <w:sz w:val="11"/>
                <w:szCs w:val="11"/>
                <w:color w:val="auto"/>
              </w:rPr>
            </w:pPr>
          </w:p>
        </w:tc>
        <w:tc>
          <w:tcPr>
            <w:tcW w:w="2500" w:type="dxa"/>
            <w:vAlign w:val="bottom"/>
            <w:gridSpan w:val="2"/>
            <w:vMerge w:val="restart"/>
          </w:tcPr>
          <w:p>
            <w:pPr>
              <w:jc w:val="center"/>
              <w:ind w:right="900"/>
              <w:spacing w:after="0"/>
              <w:rPr>
                <w:sz w:val="20"/>
                <w:szCs w:val="20"/>
                <w:color w:val="auto"/>
              </w:rPr>
            </w:pPr>
            <w:r>
              <w:rPr>
                <w:rFonts w:ascii="Times New Roman" w:cs="Times New Roman" w:eastAsia="Times New Roman" w:hAnsi="Times New Roman"/>
                <w:sz w:val="11"/>
                <w:szCs w:val="11"/>
                <w:color w:val="auto"/>
                <w:w w:val="97"/>
              </w:rPr>
              <w:t>Series of Restricted Notes</w:t>
            </w:r>
          </w:p>
        </w:tc>
        <w:tc>
          <w:tcPr>
            <w:tcW w:w="72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Aggregate Principal</w:t>
            </w:r>
          </w:p>
        </w:tc>
        <w:tc>
          <w:tcPr>
            <w:tcW w:w="3220" w:type="dxa"/>
            <w:vAlign w:val="bottom"/>
            <w:gridSpan w:val="3"/>
          </w:tcPr>
          <w:p>
            <w:pPr>
              <w:jc w:val="center"/>
              <w:ind w:left="1194"/>
              <w:spacing w:after="0"/>
              <w:rPr>
                <w:sz w:val="20"/>
                <w:szCs w:val="20"/>
                <w:color w:val="auto"/>
              </w:rPr>
            </w:pPr>
            <w:r>
              <w:rPr>
                <w:rFonts w:ascii="Times New Roman" w:cs="Times New Roman" w:eastAsia="Times New Roman" w:hAnsi="Times New Roman"/>
                <w:sz w:val="11"/>
                <w:szCs w:val="11"/>
                <w:color w:val="auto"/>
                <w:w w:val="97"/>
              </w:rPr>
              <w:t>Series of Notes Registered Under the</w:t>
            </w:r>
          </w:p>
        </w:tc>
        <w:tc>
          <w:tcPr>
            <w:tcW w:w="0" w:type="dxa"/>
            <w:vAlign w:val="bottom"/>
          </w:tcPr>
          <w:p>
            <w:pPr>
              <w:spacing w:after="0"/>
              <w:rPr>
                <w:sz w:val="1"/>
                <w:szCs w:val="1"/>
                <w:color w:val="auto"/>
              </w:rPr>
            </w:pPr>
          </w:p>
        </w:tc>
      </w:tr>
      <w:tr>
        <w:trPr>
          <w:trHeight w:val="112"/>
        </w:trPr>
        <w:tc>
          <w:tcPr>
            <w:tcW w:w="180" w:type="dxa"/>
            <w:vAlign w:val="bottom"/>
          </w:tcPr>
          <w:p>
            <w:pPr>
              <w:spacing w:after="0"/>
              <w:rPr>
                <w:sz w:val="9"/>
                <w:szCs w:val="9"/>
                <w:color w:val="auto"/>
              </w:rPr>
            </w:pPr>
          </w:p>
        </w:tc>
        <w:tc>
          <w:tcPr>
            <w:tcW w:w="250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1780" w:type="dxa"/>
            <w:vAlign w:val="bottom"/>
            <w:gridSpan w:val="2"/>
          </w:tcPr>
          <w:p>
            <w:pPr>
              <w:jc w:val="center"/>
              <w:ind w:right="180"/>
              <w:spacing w:after="0" w:line="112" w:lineRule="exact"/>
              <w:rPr>
                <w:sz w:val="20"/>
                <w:szCs w:val="20"/>
                <w:color w:val="auto"/>
              </w:rPr>
            </w:pPr>
            <w:r>
              <w:rPr>
                <w:rFonts w:ascii="Times New Roman" w:cs="Times New Roman" w:eastAsia="Times New Roman" w:hAnsi="Times New Roman"/>
                <w:sz w:val="11"/>
                <w:szCs w:val="11"/>
                <w:color w:val="auto"/>
                <w:w w:val="96"/>
              </w:rPr>
              <w:t>Securities Act</w:t>
            </w:r>
          </w:p>
        </w:tc>
        <w:tc>
          <w:tcPr>
            <w:tcW w:w="0" w:type="dxa"/>
            <w:vAlign w:val="bottom"/>
          </w:tcPr>
          <w:p>
            <w:pPr>
              <w:spacing w:after="0"/>
              <w:rPr>
                <w:sz w:val="1"/>
                <w:szCs w:val="1"/>
                <w:color w:val="auto"/>
              </w:rPr>
            </w:pPr>
          </w:p>
        </w:tc>
      </w:tr>
      <w:tr>
        <w:trPr>
          <w:trHeight w:val="119"/>
        </w:trPr>
        <w:tc>
          <w:tcPr>
            <w:tcW w:w="18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w w:val="75"/>
              </w:rPr>
              <w:t>3.</w:t>
            </w:r>
          </w:p>
        </w:tc>
        <w:tc>
          <w:tcPr>
            <w:tcW w:w="2500" w:type="dxa"/>
            <w:vAlign w:val="bottom"/>
            <w:gridSpan w:val="2"/>
          </w:tcPr>
          <w:p>
            <w:pPr>
              <w:jc w:val="center"/>
              <w:ind w:right="900"/>
              <w:spacing w:after="0" w:line="120" w:lineRule="exact"/>
              <w:rPr>
                <w:sz w:val="20"/>
                <w:szCs w:val="20"/>
                <w:color w:val="auto"/>
              </w:rPr>
            </w:pPr>
            <w:r>
              <w:rPr>
                <w:rFonts w:ascii="Times New Roman" w:cs="Times New Roman" w:eastAsia="Times New Roman" w:hAnsi="Times New Roman"/>
                <w:sz w:val="11"/>
                <w:szCs w:val="11"/>
                <w:color w:val="auto"/>
                <w:w w:val="98"/>
              </w:rPr>
              <w:t xml:space="preserve">(collectively, the </w:t>
            </w:r>
            <w:r>
              <w:rPr>
                <w:rFonts w:ascii="Times New Roman" w:cs="Times New Roman" w:eastAsia="Times New Roman" w:hAnsi="Times New Roman"/>
                <w:sz w:val="11"/>
                <w:szCs w:val="11"/>
                <w:u w:val="single" w:color="auto"/>
                <w:color w:val="auto"/>
                <w:w w:val="98"/>
              </w:rPr>
              <w:t>“</w:t>
            </w:r>
            <w:r>
              <w:rPr>
                <w:rFonts w:ascii="Times New Roman" w:cs="Times New Roman" w:eastAsia="Times New Roman" w:hAnsi="Times New Roman"/>
                <w:sz w:val="11"/>
                <w:szCs w:val="11"/>
                <w:color w:val="auto"/>
                <w:w w:val="98"/>
              </w:rPr>
              <w:t>Restricted Notes”)</w:t>
            </w:r>
          </w:p>
        </w:tc>
        <w:tc>
          <w:tcPr>
            <w:tcW w:w="1640" w:type="dxa"/>
            <w:vAlign w:val="bottom"/>
            <w:gridSpan w:val="2"/>
          </w:tcPr>
          <w:p>
            <w:pPr>
              <w:jc w:val="center"/>
              <w:ind w:left="654"/>
              <w:spacing w:after="0" w:line="120" w:lineRule="exact"/>
              <w:rPr>
                <w:sz w:val="20"/>
                <w:szCs w:val="20"/>
                <w:color w:val="auto"/>
              </w:rPr>
            </w:pPr>
            <w:r>
              <w:rPr>
                <w:rFonts w:ascii="Times New Roman" w:cs="Times New Roman" w:eastAsia="Times New Roman" w:hAnsi="Times New Roman"/>
                <w:sz w:val="11"/>
                <w:szCs w:val="11"/>
                <w:color w:val="auto"/>
                <w:w w:val="99"/>
              </w:rPr>
              <w:t>Amount Outstanding</w:t>
            </w:r>
          </w:p>
        </w:tc>
        <w:tc>
          <w:tcPr>
            <w:tcW w:w="144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color w:val="auto"/>
              </w:rPr>
              <w:t>3.</w:t>
            </w:r>
          </w:p>
        </w:tc>
        <w:tc>
          <w:tcPr>
            <w:tcW w:w="178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1"/>
                <w:szCs w:val="11"/>
                <w:color w:val="auto"/>
                <w:w w:val="98"/>
              </w:rPr>
              <w:t xml:space="preserve">(collectively, the </w:t>
            </w:r>
            <w:r>
              <w:rPr>
                <w:rFonts w:ascii="Times New Roman" w:cs="Times New Roman" w:eastAsia="Times New Roman" w:hAnsi="Times New Roman"/>
                <w:sz w:val="11"/>
                <w:szCs w:val="11"/>
                <w:u w:val="single" w:color="auto"/>
                <w:color w:val="auto"/>
                <w:w w:val="98"/>
              </w:rPr>
              <w:t>“</w:t>
            </w:r>
            <w:r>
              <w:rPr>
                <w:rFonts w:ascii="Times New Roman" w:cs="Times New Roman" w:eastAsia="Times New Roman" w:hAnsi="Times New Roman"/>
                <w:sz w:val="11"/>
                <w:szCs w:val="11"/>
                <w:color w:val="auto"/>
                <w:w w:val="98"/>
              </w:rPr>
              <w:t>Exchange Notes”)</w:t>
            </w:r>
          </w:p>
        </w:tc>
        <w:tc>
          <w:tcPr>
            <w:tcW w:w="0" w:type="dxa"/>
            <w:vAlign w:val="bottom"/>
          </w:tcPr>
          <w:p>
            <w:pPr>
              <w:spacing w:after="0"/>
              <w:rPr>
                <w:sz w:val="1"/>
                <w:szCs w:val="1"/>
                <w:color w:val="auto"/>
              </w:rPr>
            </w:pPr>
          </w:p>
        </w:tc>
      </w:tr>
      <w:tr>
        <w:trPr>
          <w:trHeight w:val="20"/>
        </w:trPr>
        <w:tc>
          <w:tcPr>
            <w:tcW w:w="180" w:type="dxa"/>
            <w:vAlign w:val="bottom"/>
            <w:vMerge w:val="continue"/>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80" w:type="dxa"/>
            <w:vAlign w:val="bottom"/>
            <w:vMerge w:val="continue"/>
          </w:tcPr>
          <w:p>
            <w:pPr>
              <w:spacing w:after="0"/>
              <w:rPr>
                <w:sz w:val="13"/>
                <w:szCs w:val="13"/>
                <w:color w:val="auto"/>
              </w:rPr>
            </w:pPr>
          </w:p>
        </w:tc>
        <w:tc>
          <w:tcPr>
            <w:tcW w:w="250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875% Guaranteed Notes due 2028</w:t>
            </w:r>
          </w:p>
        </w:tc>
        <w:tc>
          <w:tcPr>
            <w:tcW w:w="720" w:type="dxa"/>
            <w:vAlign w:val="bottom"/>
            <w:vMerge w:val="continue"/>
          </w:tcPr>
          <w:p>
            <w:pPr>
              <w:spacing w:after="0"/>
              <w:rPr>
                <w:sz w:val="13"/>
                <w:szCs w:val="13"/>
                <w:color w:val="auto"/>
              </w:rPr>
            </w:pPr>
          </w:p>
        </w:tc>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w w:val="98"/>
              </w:rPr>
              <w:t>$920,732,000</w:t>
            </w:r>
          </w:p>
        </w:tc>
        <w:tc>
          <w:tcPr>
            <w:tcW w:w="1440" w:type="dxa"/>
            <w:vAlign w:val="bottom"/>
            <w:vMerge w:val="continue"/>
          </w:tcPr>
          <w:p>
            <w:pPr>
              <w:spacing w:after="0"/>
              <w:rPr>
                <w:sz w:val="13"/>
                <w:szCs w:val="13"/>
                <w:color w:val="auto"/>
              </w:rPr>
            </w:pPr>
          </w:p>
        </w:tc>
        <w:tc>
          <w:tcPr>
            <w:tcW w:w="178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w w:val="91"/>
              </w:rPr>
              <w:t>875% Guaranteed Notes due 2028</w:t>
            </w:r>
          </w:p>
        </w:tc>
        <w:tc>
          <w:tcPr>
            <w:tcW w:w="0" w:type="dxa"/>
            <w:vAlign w:val="bottom"/>
          </w:tcPr>
          <w:p>
            <w:pPr>
              <w:spacing w:after="0"/>
              <w:rPr>
                <w:sz w:val="1"/>
                <w:szCs w:val="1"/>
                <w:color w:val="auto"/>
              </w:rPr>
            </w:pPr>
          </w:p>
        </w:tc>
      </w:tr>
      <w:tr>
        <w:trPr>
          <w:trHeight w:val="163"/>
        </w:trPr>
        <w:tc>
          <w:tcPr>
            <w:tcW w:w="26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color w:val="auto"/>
                <w:w w:val="96"/>
              </w:rPr>
              <w:t>6.375% Guaranteed Notes due 2038</w:t>
            </w:r>
          </w:p>
        </w:tc>
        <w:tc>
          <w:tcPr>
            <w:tcW w:w="1640" w:type="dxa"/>
            <w:vAlign w:val="bottom"/>
            <w:gridSpan w:val="2"/>
          </w:tcPr>
          <w:p>
            <w:pPr>
              <w:jc w:val="center"/>
              <w:ind w:left="654"/>
              <w:spacing w:after="0"/>
              <w:rPr>
                <w:sz w:val="20"/>
                <w:szCs w:val="20"/>
                <w:color w:val="auto"/>
              </w:rPr>
            </w:pPr>
            <w:r>
              <w:rPr>
                <w:rFonts w:ascii="Times New Roman" w:cs="Times New Roman" w:eastAsia="Times New Roman" w:hAnsi="Times New Roman"/>
                <w:sz w:val="14"/>
                <w:szCs w:val="14"/>
                <w:color w:val="auto"/>
                <w:w w:val="95"/>
              </w:rPr>
              <w:t>$2,063,148,000</w:t>
            </w:r>
          </w:p>
        </w:tc>
        <w:tc>
          <w:tcPr>
            <w:tcW w:w="3220" w:type="dxa"/>
            <w:vAlign w:val="bottom"/>
            <w:gridSpan w:val="3"/>
          </w:tcPr>
          <w:p>
            <w:pPr>
              <w:jc w:val="center"/>
              <w:ind w:left="1194"/>
              <w:spacing w:after="0"/>
              <w:rPr>
                <w:sz w:val="20"/>
                <w:szCs w:val="20"/>
                <w:color w:val="auto"/>
              </w:rPr>
            </w:pPr>
            <w:r>
              <w:rPr>
                <w:rFonts w:ascii="Times New Roman" w:cs="Times New Roman" w:eastAsia="Times New Roman" w:hAnsi="Times New Roman"/>
                <w:sz w:val="14"/>
                <w:szCs w:val="14"/>
                <w:color w:val="auto"/>
                <w:w w:val="96"/>
              </w:rPr>
              <w:t>6.375% Guaranteed Notes due 2038</w:t>
            </w:r>
          </w:p>
        </w:tc>
        <w:tc>
          <w:tcPr>
            <w:tcW w:w="0" w:type="dxa"/>
            <w:vAlign w:val="bottom"/>
          </w:tcPr>
          <w:p>
            <w:pPr>
              <w:spacing w:after="0"/>
              <w:rPr>
                <w:sz w:val="1"/>
                <w:szCs w:val="1"/>
                <w:color w:val="auto"/>
              </w:rPr>
            </w:pPr>
          </w:p>
        </w:tc>
      </w:tr>
      <w:tr>
        <w:trPr>
          <w:trHeight w:val="163"/>
        </w:trPr>
        <w:tc>
          <w:tcPr>
            <w:tcW w:w="26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color w:val="auto"/>
                <w:w w:val="96"/>
              </w:rPr>
              <w:t>5.500% Guaranteed Notes due 2040</w:t>
            </w:r>
          </w:p>
        </w:tc>
        <w:tc>
          <w:tcPr>
            <w:tcW w:w="1640" w:type="dxa"/>
            <w:vAlign w:val="bottom"/>
            <w:gridSpan w:val="2"/>
          </w:tcPr>
          <w:p>
            <w:pPr>
              <w:jc w:val="center"/>
              <w:ind w:left="654"/>
              <w:spacing w:after="0"/>
              <w:rPr>
                <w:sz w:val="20"/>
                <w:szCs w:val="20"/>
                <w:color w:val="auto"/>
              </w:rPr>
            </w:pPr>
            <w:r>
              <w:rPr>
                <w:rFonts w:ascii="Times New Roman" w:cs="Times New Roman" w:eastAsia="Times New Roman" w:hAnsi="Times New Roman"/>
                <w:sz w:val="14"/>
                <w:szCs w:val="14"/>
                <w:color w:val="auto"/>
                <w:w w:val="98"/>
              </w:rPr>
              <w:t>$802,108,000</w:t>
            </w:r>
          </w:p>
        </w:tc>
        <w:tc>
          <w:tcPr>
            <w:tcW w:w="3220" w:type="dxa"/>
            <w:vAlign w:val="bottom"/>
            <w:gridSpan w:val="3"/>
          </w:tcPr>
          <w:p>
            <w:pPr>
              <w:jc w:val="center"/>
              <w:ind w:left="1194"/>
              <w:spacing w:after="0"/>
              <w:rPr>
                <w:sz w:val="20"/>
                <w:szCs w:val="20"/>
                <w:color w:val="auto"/>
              </w:rPr>
            </w:pPr>
            <w:r>
              <w:rPr>
                <w:rFonts w:ascii="Times New Roman" w:cs="Times New Roman" w:eastAsia="Times New Roman" w:hAnsi="Times New Roman"/>
                <w:sz w:val="14"/>
                <w:szCs w:val="14"/>
                <w:color w:val="auto"/>
                <w:w w:val="96"/>
              </w:rPr>
              <w:t>5.500% Guaranteed Notes due 2040</w:t>
            </w:r>
          </w:p>
        </w:tc>
        <w:tc>
          <w:tcPr>
            <w:tcW w:w="0" w:type="dxa"/>
            <w:vAlign w:val="bottom"/>
          </w:tcPr>
          <w:p>
            <w:pPr>
              <w:spacing w:after="0"/>
              <w:rPr>
                <w:sz w:val="1"/>
                <w:szCs w:val="1"/>
                <w:color w:val="auto"/>
              </w:rPr>
            </w:pPr>
          </w:p>
        </w:tc>
      </w:tr>
      <w:tr>
        <w:trPr>
          <w:trHeight w:val="163"/>
        </w:trPr>
        <w:tc>
          <w:tcPr>
            <w:tcW w:w="26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color w:val="auto"/>
                <w:w w:val="96"/>
              </w:rPr>
              <w:t>5.125% Guaranteed Notes due 2041</w:t>
            </w:r>
          </w:p>
        </w:tc>
        <w:tc>
          <w:tcPr>
            <w:tcW w:w="1640" w:type="dxa"/>
            <w:vAlign w:val="bottom"/>
            <w:gridSpan w:val="2"/>
          </w:tcPr>
          <w:p>
            <w:pPr>
              <w:jc w:val="center"/>
              <w:ind w:left="654"/>
              <w:spacing w:after="0"/>
              <w:rPr>
                <w:sz w:val="20"/>
                <w:szCs w:val="20"/>
                <w:color w:val="auto"/>
              </w:rPr>
            </w:pPr>
            <w:r>
              <w:rPr>
                <w:rFonts w:ascii="Times New Roman" w:cs="Times New Roman" w:eastAsia="Times New Roman" w:hAnsi="Times New Roman"/>
                <w:sz w:val="14"/>
                <w:szCs w:val="14"/>
                <w:color w:val="auto"/>
                <w:w w:val="98"/>
              </w:rPr>
              <w:t>$691,199,000</w:t>
            </w:r>
          </w:p>
        </w:tc>
        <w:tc>
          <w:tcPr>
            <w:tcW w:w="3220" w:type="dxa"/>
            <w:vAlign w:val="bottom"/>
            <w:gridSpan w:val="3"/>
          </w:tcPr>
          <w:p>
            <w:pPr>
              <w:jc w:val="center"/>
              <w:ind w:left="1194"/>
              <w:spacing w:after="0"/>
              <w:rPr>
                <w:sz w:val="20"/>
                <w:szCs w:val="20"/>
                <w:color w:val="auto"/>
              </w:rPr>
            </w:pPr>
            <w:r>
              <w:rPr>
                <w:rFonts w:ascii="Times New Roman" w:cs="Times New Roman" w:eastAsia="Times New Roman" w:hAnsi="Times New Roman"/>
                <w:sz w:val="14"/>
                <w:szCs w:val="14"/>
                <w:color w:val="auto"/>
                <w:w w:val="96"/>
              </w:rPr>
              <w:t>5.125% Guaranteed Notes due 2041</w:t>
            </w:r>
          </w:p>
        </w:tc>
        <w:tc>
          <w:tcPr>
            <w:tcW w:w="0" w:type="dxa"/>
            <w:vAlign w:val="bottom"/>
          </w:tcPr>
          <w:p>
            <w:pPr>
              <w:spacing w:after="0"/>
              <w:rPr>
                <w:sz w:val="1"/>
                <w:szCs w:val="1"/>
                <w:color w:val="auto"/>
              </w:rPr>
            </w:pPr>
          </w:p>
        </w:tc>
      </w:tr>
      <w:tr>
        <w:trPr>
          <w:trHeight w:val="163"/>
        </w:trPr>
        <w:tc>
          <w:tcPr>
            <w:tcW w:w="26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color w:val="auto"/>
                <w:w w:val="96"/>
              </w:rPr>
              <w:t>3.125% Guaranteed Notes due 2049</w:t>
            </w:r>
          </w:p>
        </w:tc>
        <w:tc>
          <w:tcPr>
            <w:tcW w:w="1640" w:type="dxa"/>
            <w:vAlign w:val="bottom"/>
            <w:gridSpan w:val="2"/>
          </w:tcPr>
          <w:p>
            <w:pPr>
              <w:jc w:val="center"/>
              <w:ind w:left="654"/>
              <w:spacing w:after="0"/>
              <w:rPr>
                <w:sz w:val="20"/>
                <w:szCs w:val="20"/>
                <w:color w:val="auto"/>
              </w:rPr>
            </w:pPr>
            <w:r>
              <w:rPr>
                <w:rFonts w:ascii="Times New Roman" w:cs="Times New Roman" w:eastAsia="Times New Roman" w:hAnsi="Times New Roman"/>
                <w:sz w:val="14"/>
                <w:szCs w:val="14"/>
                <w:color w:val="auto"/>
                <w:w w:val="98"/>
              </w:rPr>
              <w:t>$993,714,000</w:t>
            </w:r>
          </w:p>
        </w:tc>
        <w:tc>
          <w:tcPr>
            <w:tcW w:w="3220" w:type="dxa"/>
            <w:vAlign w:val="bottom"/>
            <w:gridSpan w:val="3"/>
          </w:tcPr>
          <w:p>
            <w:pPr>
              <w:jc w:val="center"/>
              <w:ind w:left="1194"/>
              <w:spacing w:after="0"/>
              <w:rPr>
                <w:sz w:val="20"/>
                <w:szCs w:val="20"/>
                <w:color w:val="auto"/>
              </w:rPr>
            </w:pPr>
            <w:r>
              <w:rPr>
                <w:rFonts w:ascii="Times New Roman" w:cs="Times New Roman" w:eastAsia="Times New Roman" w:hAnsi="Times New Roman"/>
                <w:sz w:val="14"/>
                <w:szCs w:val="14"/>
                <w:color w:val="auto"/>
                <w:w w:val="96"/>
              </w:rPr>
              <w:t>3.125% Guaranteed Notes due 2049</w:t>
            </w:r>
          </w:p>
        </w:tc>
        <w:tc>
          <w:tcPr>
            <w:tcW w:w="0" w:type="dxa"/>
            <w:vAlign w:val="bottom"/>
          </w:tcPr>
          <w:p>
            <w:pPr>
              <w:spacing w:after="0"/>
              <w:rPr>
                <w:sz w:val="1"/>
                <w:szCs w:val="1"/>
                <w:color w:val="auto"/>
              </w:rPr>
            </w:pPr>
          </w:p>
        </w:tc>
      </w:tr>
      <w:tr>
        <w:trPr>
          <w:trHeight w:val="175"/>
        </w:trPr>
        <w:tc>
          <w:tcPr>
            <w:tcW w:w="26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color w:val="auto"/>
                <w:w w:val="96"/>
              </w:rPr>
              <w:t>3.000% Guaranteed Notes due 2051</w:t>
            </w:r>
          </w:p>
        </w:tc>
        <w:tc>
          <w:tcPr>
            <w:tcW w:w="1640" w:type="dxa"/>
            <w:vAlign w:val="bottom"/>
            <w:gridSpan w:val="2"/>
          </w:tcPr>
          <w:p>
            <w:pPr>
              <w:jc w:val="center"/>
              <w:ind w:left="654"/>
              <w:spacing w:after="0"/>
              <w:rPr>
                <w:sz w:val="20"/>
                <w:szCs w:val="20"/>
                <w:color w:val="auto"/>
              </w:rPr>
            </w:pPr>
            <w:r>
              <w:rPr>
                <w:rFonts w:ascii="Times New Roman" w:cs="Times New Roman" w:eastAsia="Times New Roman" w:hAnsi="Times New Roman"/>
                <w:sz w:val="14"/>
                <w:szCs w:val="14"/>
                <w:color w:val="auto"/>
                <w:w w:val="98"/>
              </w:rPr>
              <w:t>$876,828,000</w:t>
            </w:r>
          </w:p>
        </w:tc>
        <w:tc>
          <w:tcPr>
            <w:tcW w:w="3220" w:type="dxa"/>
            <w:vAlign w:val="bottom"/>
            <w:gridSpan w:val="3"/>
          </w:tcPr>
          <w:p>
            <w:pPr>
              <w:jc w:val="center"/>
              <w:ind w:left="1194"/>
              <w:spacing w:after="0"/>
              <w:rPr>
                <w:sz w:val="20"/>
                <w:szCs w:val="20"/>
                <w:color w:val="auto"/>
              </w:rPr>
            </w:pPr>
            <w:r>
              <w:rPr>
                <w:rFonts w:ascii="Times New Roman" w:cs="Times New Roman" w:eastAsia="Times New Roman" w:hAnsi="Times New Roman"/>
                <w:sz w:val="14"/>
                <w:szCs w:val="14"/>
                <w:color w:val="auto"/>
                <w:w w:val="96"/>
              </w:rPr>
              <w:t>3.000% Guaranteed Notes due 2051</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340" w:right="359"/>
        <w:spacing w:after="0" w:line="248" w:lineRule="auto"/>
        <w:rPr>
          <w:sz w:val="20"/>
          <w:szCs w:val="20"/>
          <w:color w:val="auto"/>
        </w:rPr>
      </w:pPr>
      <w:r>
        <w:rPr>
          <w:rFonts w:ascii="Times New Roman" w:cs="Times New Roman" w:eastAsia="Times New Roman" w:hAnsi="Times New Roman"/>
          <w:sz w:val="14"/>
          <w:szCs w:val="14"/>
          <w:color w:val="auto"/>
        </w:rPr>
        <w:t>The terms of the Exchange Notes to be issued in the Exchange Offers are substantially identical to the terms of the corresponding series of Restricted Notes, except that the Exchange Notes will be registered under the Securities Act and the transfer restrictions, registration rights and additional interest provisions applicable to the Restricted Notes will not apply to the Exchange Notes. In addition, each series of Exchange Notes will bear different CUSIP and ISIN numbers than the corresponding series of Restricted Notes. The Exchange Notes will represent the same debt as the Restricted Notes, and Shell Finance US will issue the Exchange Notes under the same indenture that governs the Restricted Notes.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Exchange Offers are not conditioned upon any minimum number of Restricted Notes being tendered.</w:t>
      </w:r>
    </w:p>
    <w:p>
      <w:pPr>
        <w:spacing w:after="0" w:line="166" w:lineRule="exact"/>
        <w:rPr>
          <w:sz w:val="20"/>
          <w:szCs w:val="20"/>
          <w:color w:val="auto"/>
        </w:rPr>
      </w:pPr>
    </w:p>
    <w:p>
      <w:pPr>
        <w:ind w:left="340" w:right="359"/>
        <w:spacing w:after="0" w:line="264" w:lineRule="auto"/>
        <w:rPr>
          <w:sz w:val="20"/>
          <w:szCs w:val="20"/>
          <w:color w:val="auto"/>
        </w:rPr>
      </w:pPr>
      <w:r>
        <w:rPr>
          <w:rFonts w:ascii="Times New Roman" w:cs="Times New Roman" w:eastAsia="Times New Roman" w:hAnsi="Times New Roman"/>
          <w:sz w:val="14"/>
          <w:szCs w:val="14"/>
          <w:color w:val="auto"/>
        </w:rPr>
        <w:t>We are the holder of record of Restricted Notes held by us for your own account. A tender of such Restricted Notes can be made only by us as the record holder and pursuant to your instructions.</w:t>
      </w:r>
    </w:p>
    <w:p>
      <w:pPr>
        <w:spacing w:after="0" w:line="136" w:lineRule="exact"/>
        <w:rPr>
          <w:sz w:val="20"/>
          <w:szCs w:val="20"/>
          <w:color w:val="auto"/>
        </w:rPr>
      </w:pPr>
    </w:p>
    <w:p>
      <w:pPr>
        <w:ind w:left="340" w:right="839"/>
        <w:spacing w:after="0" w:line="264" w:lineRule="auto"/>
        <w:rPr>
          <w:sz w:val="20"/>
          <w:szCs w:val="20"/>
          <w:color w:val="auto"/>
        </w:rPr>
      </w:pPr>
      <w:r>
        <w:rPr>
          <w:rFonts w:ascii="Times New Roman" w:cs="Times New Roman" w:eastAsia="Times New Roman" w:hAnsi="Times New Roman"/>
          <w:sz w:val="14"/>
          <w:szCs w:val="14"/>
          <w:color w:val="auto"/>
        </w:rPr>
        <w:t>We request instructions as to whether you wish to tender any or all of the Restricted Notes held by us for your account pursuant to the terms and conditions of the Exchange Offers.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133350</wp:posOffset>
            </wp:positionV>
            <wp:extent cx="528701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5287010" cy="635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Instructions with Respect to the Exchange Offers</w:t>
      </w:r>
    </w:p>
    <w:p>
      <w:pPr>
        <w:spacing w:after="0" w:line="170" w:lineRule="exact"/>
        <w:rPr>
          <w:sz w:val="20"/>
          <w:szCs w:val="20"/>
          <w:color w:val="auto"/>
        </w:rPr>
      </w:pPr>
    </w:p>
    <w:p>
      <w:pPr>
        <w:ind w:left="340" w:right="559"/>
        <w:spacing w:after="0" w:line="264" w:lineRule="auto"/>
        <w:rPr>
          <w:sz w:val="20"/>
          <w:szCs w:val="20"/>
          <w:color w:val="auto"/>
        </w:rPr>
      </w:pPr>
      <w:r>
        <w:rPr>
          <w:rFonts w:ascii="Times New Roman" w:cs="Times New Roman" w:eastAsia="Times New Roman" w:hAnsi="Times New Roman"/>
          <w:sz w:val="14"/>
          <w:szCs w:val="14"/>
          <w:color w:val="auto"/>
        </w:rPr>
        <w:t>The undersigned hereby acknowledges receipt of the Prospectus relating to the exchange of the Restricted Notes for the Exchange Notes, which have been registered under the Securities Act, upon the terms and subject to the conditions set forth in the Exchange Offers.</w:t>
      </w:r>
    </w:p>
    <w:p>
      <w:pPr>
        <w:sectPr>
          <w:pgSz w:w="11900" w:h="16838" w:orient="portrait"/>
          <w:cols w:equalWidth="0" w:num="1">
            <w:col w:w="9019"/>
          </w:cols>
          <w:pgMar w:left="1440" w:top="316" w:right="1440" w:bottom="1440" w:gutter="0" w:footer="0" w:header="0"/>
        </w:sectPr>
      </w:pPr>
    </w:p>
    <w:bookmarkStart w:id="137" w:name="page138"/>
    <w:bookmarkEnd w:id="137"/>
    <w:p>
      <w:pPr>
        <w:ind w:left="340" w:right="53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This will instruct you, the registered holder and/or book-entry transfer facility participant, as to the action to be taken by you relating to the Exchange Offers with respect to the Restricted Notes held by you for the account of the undersigned.</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aggregate principal amount of the Restricted Notes held by you for the account of the undersigned is (fill in an amount):</w:t>
      </w:r>
    </w:p>
    <w:p>
      <w:pPr>
        <w:spacing w:after="0" w:line="11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 </w:t>
            </w:r>
          </w:p>
        </w:tc>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w w:val="96"/>
              </w:rPr>
              <w:t>of the 3.875% Guaranteed Notes due 2028</w:t>
            </w:r>
          </w:p>
        </w:tc>
      </w:tr>
      <w:tr>
        <w:trPr>
          <w:trHeight w:val="20"/>
        </w:trPr>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86"/>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 </w:t>
            </w:r>
          </w:p>
        </w:tc>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w w:val="96"/>
              </w:rPr>
              <w:t>of the 6.375% Guaranteed Notes due 2038</w:t>
            </w:r>
          </w:p>
        </w:tc>
      </w:tr>
      <w:tr>
        <w:trPr>
          <w:trHeight w:val="20"/>
        </w:trPr>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76"/>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 </w:t>
            </w:r>
          </w:p>
        </w:tc>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w w:val="96"/>
              </w:rPr>
              <w:t>of the 5.500% Guaranteed Notes due 2040</w:t>
            </w:r>
          </w:p>
        </w:tc>
      </w:tr>
      <w:tr>
        <w:trPr>
          <w:trHeight w:val="20"/>
        </w:trPr>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76"/>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 </w:t>
            </w:r>
          </w:p>
        </w:tc>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w w:val="96"/>
              </w:rPr>
              <w:t>of the 5.125% Guaranteed Notes due 2041</w:t>
            </w:r>
          </w:p>
        </w:tc>
      </w:tr>
      <w:tr>
        <w:trPr>
          <w:trHeight w:val="20"/>
        </w:trPr>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86"/>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 </w:t>
            </w:r>
          </w:p>
        </w:tc>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w w:val="96"/>
              </w:rPr>
              <w:t>of the 3.125% Guaranteed Notes due 2049</w:t>
            </w:r>
          </w:p>
        </w:tc>
      </w:tr>
      <w:tr>
        <w:trPr>
          <w:trHeight w:val="20"/>
        </w:trPr>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76"/>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 </w:t>
            </w:r>
          </w:p>
        </w:tc>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w w:val="96"/>
              </w:rPr>
              <w:t>of the 3.000% Guaranteed Notes due 2051</w:t>
            </w:r>
          </w:p>
        </w:tc>
      </w:tr>
      <w:tr>
        <w:trPr>
          <w:trHeight w:val="20"/>
        </w:trPr>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With respect to the Exchange Offers, the undersigned hereby instructs you (</w:t>
      </w:r>
      <w:r>
        <w:rPr>
          <w:rFonts w:ascii="Times New Roman" w:cs="Times New Roman" w:eastAsia="Times New Roman" w:hAnsi="Times New Roman"/>
          <w:sz w:val="14"/>
          <w:szCs w:val="14"/>
          <w:b w:val="1"/>
          <w:bCs w:val="1"/>
          <w:color w:val="auto"/>
        </w:rPr>
        <w:t>check appropriate box</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340" w:right="399" w:firstLine="1"/>
        <w:spacing w:after="0" w:line="270" w:lineRule="auto"/>
        <w:tabs>
          <w:tab w:leader="none" w:pos="497" w:val="left"/>
        </w:tabs>
        <w:numPr>
          <w:ilvl w:val="0"/>
          <w:numId w:val="6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To tender the following Restricted Notes held by you for the account of the undersigned (</w:t>
      </w:r>
      <w:r>
        <w:rPr>
          <w:rFonts w:ascii="Times New Roman" w:cs="Times New Roman" w:eastAsia="Times New Roman" w:hAnsi="Times New Roman"/>
          <w:sz w:val="14"/>
          <w:szCs w:val="14"/>
          <w:b w:val="1"/>
          <w:bCs w:val="1"/>
          <w:color w:val="auto"/>
        </w:rPr>
        <w:t>insert aggregate principal amount of Restricted Notes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be tendered (if any)):</w:t>
      </w:r>
    </w:p>
    <w:p>
      <w:pPr>
        <w:spacing w:after="0" w:line="85"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w w:val="98"/>
              </w:rPr>
              <w:t>of the 3.875% Guaranteed Notes due 2028</w:t>
            </w:r>
          </w:p>
        </w:tc>
      </w:tr>
      <w:tr>
        <w:trPr>
          <w:trHeight w:val="20"/>
        </w:trPr>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86"/>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w w:val="98"/>
              </w:rPr>
              <w:t>of the 6.375% Guaranteed Notes due 2038</w:t>
            </w:r>
          </w:p>
        </w:tc>
      </w:tr>
      <w:tr>
        <w:trPr>
          <w:trHeight w:val="20"/>
        </w:trPr>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76"/>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w w:val="98"/>
              </w:rPr>
              <w:t>of the 5.500% Guaranteed Notes due 2040</w:t>
            </w:r>
          </w:p>
        </w:tc>
      </w:tr>
      <w:tr>
        <w:trPr>
          <w:trHeight w:val="20"/>
        </w:trPr>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76"/>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w w:val="98"/>
              </w:rPr>
              <w:t>of the 5.125% Guaranteed Notes due 2041</w:t>
            </w:r>
          </w:p>
        </w:tc>
      </w:tr>
      <w:tr>
        <w:trPr>
          <w:trHeight w:val="20"/>
        </w:trPr>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86"/>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3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6"/>
              </w:rPr>
              <w:t>of the 3.125% Guaranteed Notes due 2049</w:t>
            </w:r>
          </w:p>
        </w:tc>
      </w:tr>
      <w:tr>
        <w:trPr>
          <w:trHeight w:val="20"/>
        </w:trPr>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60" w:type="dxa"/>
            <w:vAlign w:val="bottom"/>
            <w:tcBorders>
              <w:left w:val="single" w:sz="8" w:color="auto"/>
            </w:tcBorders>
          </w:tcPr>
          <w:p>
            <w:pPr>
              <w:spacing w:after="0" w:line="20" w:lineRule="exact"/>
              <w:rPr>
                <w:sz w:val="1"/>
                <w:szCs w:val="1"/>
                <w:color w:val="auto"/>
              </w:rPr>
            </w:pPr>
          </w:p>
        </w:tc>
      </w:tr>
      <w:tr>
        <w:trPr>
          <w:trHeight w:val="276"/>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w w:val="98"/>
              </w:rPr>
              <w:t>of the 3.000% Guaranteed Notes due 2051</w:t>
            </w:r>
          </w:p>
        </w:tc>
      </w:tr>
      <w:tr>
        <w:trPr>
          <w:trHeight w:val="20"/>
        </w:trPr>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171" w:lineRule="exact"/>
        <w:rPr>
          <w:sz w:val="20"/>
          <w:szCs w:val="20"/>
          <w:color w:val="auto"/>
        </w:rPr>
      </w:pPr>
    </w:p>
    <w:p>
      <w:pPr>
        <w:ind w:left="500" w:hanging="159"/>
        <w:spacing w:after="0"/>
        <w:tabs>
          <w:tab w:leader="none" w:pos="500" w:val="left"/>
        </w:tabs>
        <w:numPr>
          <w:ilvl w:val="0"/>
          <w:numId w:val="6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Not to tender any Restricted Notes held by you for the account of the undersigned.</w:t>
      </w:r>
    </w:p>
    <w:p>
      <w:pPr>
        <w:spacing w:after="0" w:line="166" w:lineRule="exact"/>
        <w:rPr>
          <w:sz w:val="20"/>
          <w:szCs w:val="20"/>
          <w:color w:val="auto"/>
        </w:rPr>
      </w:pPr>
    </w:p>
    <w:p>
      <w:pPr>
        <w:ind w:left="340" w:right="399"/>
        <w:spacing w:after="0" w:line="264" w:lineRule="auto"/>
        <w:rPr>
          <w:sz w:val="20"/>
          <w:szCs w:val="20"/>
          <w:color w:val="auto"/>
        </w:rPr>
      </w:pPr>
      <w:r>
        <w:rPr>
          <w:rFonts w:ascii="Times New Roman" w:cs="Times New Roman" w:eastAsia="Times New Roman" w:hAnsi="Times New Roman"/>
          <w:sz w:val="14"/>
          <w:szCs w:val="14"/>
          <w:color w:val="auto"/>
        </w:rPr>
        <w:t>If the undersigned instructs you to tender the Restricted Notes held by you for the account of the undersigned, it is understood that you are authorized to make, on behalf of the undersigned (and the undersigned, by its signature below, hereby makes to you), the representations that:</w:t>
      </w:r>
    </w:p>
    <w:p>
      <w:pPr>
        <w:spacing w:after="0" w:line="136" w:lineRule="exact"/>
        <w:rPr>
          <w:sz w:val="20"/>
          <w:szCs w:val="20"/>
          <w:color w:val="auto"/>
        </w:rPr>
      </w:pPr>
    </w:p>
    <w:p>
      <w:pPr>
        <w:ind w:left="1080" w:right="639" w:hanging="331"/>
        <w:spacing w:after="0" w:line="264" w:lineRule="auto"/>
        <w:tabs>
          <w:tab w:leader="none" w:pos="10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Notes to be acquired in connection with the Exchange Offers by each beneficial owner of the Restricted Notes are being acquired by such beneficial owner in the ordinary course of business of such beneficial owner;</w:t>
      </w:r>
    </w:p>
    <w:p>
      <w:pPr>
        <w:spacing w:after="0" w:line="135" w:lineRule="exact"/>
        <w:rPr>
          <w:rFonts w:ascii="Times New Roman" w:cs="Times New Roman" w:eastAsia="Times New Roman" w:hAnsi="Times New Roman"/>
          <w:sz w:val="14"/>
          <w:szCs w:val="14"/>
          <w:color w:val="auto"/>
        </w:rPr>
      </w:pPr>
    </w:p>
    <w:p>
      <w:pPr>
        <w:ind w:left="1080" w:right="699" w:hanging="331"/>
        <w:spacing w:after="0" w:line="264" w:lineRule="auto"/>
        <w:tabs>
          <w:tab w:leader="none" w:pos="10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beneficial owner is not participating, does not intend to participate, and has no arrangement or understanding with any person to participate, in the distribution of the Exchange Notes;</w:t>
      </w:r>
    </w:p>
    <w:p>
      <w:pPr>
        <w:sectPr>
          <w:pgSz w:w="11900" w:h="16838" w:orient="portrait"/>
          <w:cols w:equalWidth="0" w:num="1">
            <w:col w:w="9019"/>
          </w:cols>
          <w:pgMar w:left="1440" w:top="239" w:right="1440" w:bottom="1440" w:gutter="0" w:footer="0" w:header="0"/>
        </w:sectPr>
      </w:pPr>
    </w:p>
    <w:bookmarkStart w:id="138" w:name="page139"/>
    <w:bookmarkEnd w:id="138"/>
    <w:p>
      <w:pPr>
        <w:ind w:left="1080" w:right="499" w:hanging="331"/>
        <w:spacing w:after="0" w:line="247" w:lineRule="auto"/>
        <w:tabs>
          <w:tab w:leader="none" w:pos="10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each beneficial owner acknowledges and agrees that any person participating in the Exchange Offers for the purpose of distributing the Exchange Notes must comply with the registration and prospectus delivery requirements of the Securities Act in connection with a secondary resale transaction and cannot rely on the position of the staff of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set forth in the applicable no-action letters, see “The Exchange Offers—Resale of the Exchange Notes” in the Prospectus, and that a secondary resale transaction should be covered by an effective registration statement containing the selling security holder information required by Item 507 or 508, as applicable, of Regulation S-K of the Commission;</w:t>
      </w:r>
    </w:p>
    <w:p>
      <w:pPr>
        <w:spacing w:after="0" w:line="148" w:lineRule="exact"/>
        <w:rPr>
          <w:rFonts w:ascii="Times New Roman" w:cs="Times New Roman" w:eastAsia="Times New Roman" w:hAnsi="Times New Roman"/>
          <w:sz w:val="14"/>
          <w:szCs w:val="14"/>
          <w:color w:val="auto"/>
        </w:rPr>
      </w:pPr>
    </w:p>
    <w:p>
      <w:pPr>
        <w:jc w:val="both"/>
        <w:ind w:left="1080" w:right="559" w:hanging="331"/>
        <w:spacing w:after="0" w:line="253" w:lineRule="auto"/>
        <w:tabs>
          <w:tab w:leader="none" w:pos="10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beneficial holder is a broker-dealer, such beneficial holder represents that it acquired the Restricted Notes for its own account as a result of market making or other trading activities (other than the Restricted Notes acquired directly from the Company), and that it will deliver a prospectus in connection with any resale of Exchange Notes acquired in the Exchange Offers;</w:t>
      </w:r>
    </w:p>
    <w:p>
      <w:pPr>
        <w:spacing w:after="0" w:line="143" w:lineRule="exact"/>
        <w:rPr>
          <w:rFonts w:ascii="Times New Roman" w:cs="Times New Roman" w:eastAsia="Times New Roman" w:hAnsi="Times New Roman"/>
          <w:sz w:val="14"/>
          <w:szCs w:val="14"/>
          <w:color w:val="auto"/>
        </w:rPr>
      </w:pPr>
    </w:p>
    <w:p>
      <w:pPr>
        <w:ind w:left="1080" w:right="399" w:hanging="331"/>
        <w:spacing w:after="0" w:line="264" w:lineRule="auto"/>
        <w:tabs>
          <w:tab w:leader="none" w:pos="10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beneficial holder is a broker-dealer and receives Exchange Notes pursuant to the Exchange Offers it shall notify the Company before using the Prospectus in connection with any sale or transfer of the Exchange Notes; and</w:t>
      </w:r>
    </w:p>
    <w:p>
      <w:pPr>
        <w:spacing w:after="0" w:line="135" w:lineRule="exact"/>
        <w:rPr>
          <w:rFonts w:ascii="Times New Roman" w:cs="Times New Roman" w:eastAsia="Times New Roman" w:hAnsi="Times New Roman"/>
          <w:sz w:val="14"/>
          <w:szCs w:val="14"/>
          <w:color w:val="auto"/>
        </w:rPr>
      </w:pPr>
    </w:p>
    <w:p>
      <w:pPr>
        <w:ind w:left="1080" w:hanging="331"/>
        <w:spacing w:after="0"/>
        <w:tabs>
          <w:tab w:leader="none" w:pos="10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such beneficial owner is an “affiliate,” as defined under Rule 405 of the Securities Act, of the Company or of Shell plc.</w:t>
      </w:r>
    </w:p>
    <w:p>
      <w:pPr>
        <w:spacing w:after="0" w:line="186" w:lineRule="exact"/>
        <w:rPr>
          <w:sz w:val="20"/>
          <w:szCs w:val="20"/>
          <w:color w:val="auto"/>
        </w:rPr>
      </w:pPr>
    </w:p>
    <w:tbl>
      <w:tblPr>
        <w:tblLayout w:type="fixed"/>
        <w:tblInd w:w="340" w:type="dxa"/>
        <w:tblCellMar>
          <w:top w:w="0" w:type="dxa"/>
          <w:left w:w="0" w:type="dxa"/>
          <w:bottom w:w="0" w:type="dxa"/>
          <w:right w:w="0" w:type="dxa"/>
        </w:tblCellMar>
      </w:tblPr>
      <w:tr>
        <w:trPr>
          <w:trHeight w:val="163"/>
        </w:trPr>
        <w:tc>
          <w:tcPr>
            <w:tcW w:w="8520" w:type="dxa"/>
            <w:vAlign w:val="bottom"/>
            <w:gridSpan w:val="67"/>
          </w:tcPr>
          <w:p>
            <w:pPr>
              <w:spacing w:after="0"/>
              <w:rPr>
                <w:sz w:val="20"/>
                <w:szCs w:val="20"/>
                <w:color w:val="auto"/>
              </w:rPr>
            </w:pPr>
            <w:r>
              <w:rPr>
                <w:rFonts w:ascii="Times New Roman" w:cs="Times New Roman" w:eastAsia="Times New Roman" w:hAnsi="Times New Roman"/>
                <w:sz w:val="14"/>
                <w:szCs w:val="14"/>
                <w:color w:val="auto"/>
                <w:w w:val="96"/>
              </w:rPr>
              <w:t>Name of beneficial</w:t>
            </w:r>
          </w:p>
        </w:tc>
      </w:tr>
      <w:tr>
        <w:trPr>
          <w:trHeight w:val="145"/>
        </w:trPr>
        <w:tc>
          <w:tcPr>
            <w:tcW w:w="76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w w:val="85"/>
              </w:rPr>
              <w:t>owner(s): </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40"/>
              <w:spacing w:after="0" w:line="145" w:lineRule="exact"/>
              <w:rPr>
                <w:sz w:val="20"/>
                <w:szCs w:val="20"/>
                <w:color w:val="auto"/>
              </w:rPr>
            </w:pPr>
            <w:r>
              <w:rPr>
                <w:rFonts w:ascii="Times New Roman" w:cs="Times New Roman" w:eastAsia="Times New Roman" w:hAnsi="Times New Roman"/>
                <w:sz w:val="14"/>
                <w:szCs w:val="14"/>
                <w:color w:val="auto"/>
                <w:w w:val="71"/>
              </w:rPr>
              <w:t> </w:t>
            </w:r>
          </w:p>
        </w:tc>
        <w:tc>
          <w:tcPr>
            <w:tcW w:w="10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Borders>
              <w:bottom w:val="single" w:sz="8" w:color="auto"/>
            </w:tcBorders>
          </w:tcPr>
          <w:p>
            <w:pPr>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bottom w:val="single" w:sz="8" w:color="auto"/>
            </w:tcBorders>
          </w:tcPr>
          <w:p>
            <w:pPr>
              <w:jc w:val="right"/>
              <w:ind w:right="22"/>
              <w:spacing w:after="0" w:line="145" w:lineRule="exact"/>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920" w:type="dxa"/>
            <w:vAlign w:val="bottom"/>
            <w:gridSpan w:val="8"/>
          </w:tcPr>
          <w:p>
            <w:pPr>
              <w:spacing w:after="0"/>
              <w:rPr>
                <w:sz w:val="12"/>
                <w:szCs w:val="12"/>
                <w:color w:val="auto"/>
              </w:rPr>
            </w:pPr>
          </w:p>
        </w:tc>
      </w:tr>
      <w:tr>
        <w:trPr>
          <w:trHeight w:val="521"/>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83"/>
              </w:rPr>
              <w:t>Signature(s): </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gridSpan w:val="2"/>
          </w:tcPr>
          <w:p>
            <w:pPr>
              <w:jc w:val="right"/>
              <w:ind w:right="14"/>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60" w:type="dxa"/>
            <w:vAlign w:val="bottom"/>
          </w:tcPr>
          <w:p>
            <w:pPr>
              <w:spacing w:after="0"/>
              <w:rPr>
                <w:sz w:val="20"/>
                <w:szCs w:val="20"/>
                <w:color w:val="auto"/>
              </w:rPr>
            </w:pPr>
            <w:r>
              <w:rPr>
                <w:rFonts w:ascii="Times New Roman" w:cs="Times New Roman" w:eastAsia="Times New Roman" w:hAnsi="Times New Roman"/>
                <w:sz w:val="5"/>
                <w:szCs w:val="5"/>
                <w:color w:val="auto"/>
                <w:w w:val="79"/>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Pr>
          <w:p>
            <w:pPr>
              <w:jc w:val="right"/>
              <w:ind w:right="102"/>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1"/>
              </w:rPr>
              <w:t xml:space="preserve">    </w:t>
            </w:r>
          </w:p>
        </w:tc>
        <w:tc>
          <w:tcPr>
            <w:tcW w:w="260" w:type="dxa"/>
            <w:vAlign w:val="bottom"/>
            <w:gridSpan w:val="2"/>
          </w:tcPr>
          <w:p>
            <w:pPr>
              <w:jc w:val="right"/>
              <w:ind w:right="38"/>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gridSpan w:val="2"/>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85"/>
              </w:rPr>
              <w:t> </w:t>
            </w:r>
          </w:p>
        </w:tc>
      </w:tr>
      <w:tr>
        <w:trPr>
          <w:trHeight w:val="508"/>
        </w:trPr>
        <w:tc>
          <w:tcPr>
            <w:tcW w:w="1120" w:type="dxa"/>
            <w:vAlign w:val="bottom"/>
            <w:gridSpan w:val="6"/>
          </w:tcPr>
          <w:p>
            <w:pPr>
              <w:spacing w:after="0"/>
              <w:rPr>
                <w:sz w:val="20"/>
                <w:szCs w:val="20"/>
                <w:color w:val="auto"/>
              </w:rPr>
            </w:pPr>
            <w:r>
              <w:rPr>
                <w:rFonts w:ascii="Times New Roman" w:cs="Times New Roman" w:eastAsia="Times New Roman" w:hAnsi="Times New Roman"/>
                <w:sz w:val="14"/>
                <w:szCs w:val="14"/>
                <w:color w:val="auto"/>
                <w:w w:val="96"/>
              </w:rPr>
              <w:t>Name(s) (please</w:t>
            </w:r>
          </w:p>
        </w:tc>
        <w:tc>
          <w:tcPr>
            <w:tcW w:w="7400" w:type="dxa"/>
            <w:vAlign w:val="bottom"/>
            <w:tcBorders>
              <w:top w:val="single" w:sz="8" w:color="auto"/>
            </w:tcBorders>
            <w:gridSpan w:val="61"/>
          </w:tcPr>
          <w:p>
            <w:pPr>
              <w:spacing w:after="0"/>
              <w:rPr>
                <w:sz w:val="24"/>
                <w:szCs w:val="24"/>
                <w:color w:val="auto"/>
              </w:rPr>
            </w:pPr>
          </w:p>
        </w:tc>
      </w:tr>
      <w:tr>
        <w:trPr>
          <w:trHeight w:val="145"/>
        </w:trPr>
        <w:tc>
          <w:tcPr>
            <w:tcW w:w="1160" w:type="dxa"/>
            <w:vAlign w:val="bottom"/>
            <w:gridSpan w:val="7"/>
          </w:tcPr>
          <w:p>
            <w:pPr>
              <w:ind w:left="140"/>
              <w:spacing w:after="0" w:line="145" w:lineRule="exact"/>
              <w:rPr>
                <w:sz w:val="20"/>
                <w:szCs w:val="20"/>
                <w:color w:val="auto"/>
              </w:rPr>
            </w:pPr>
            <w:r>
              <w:rPr>
                <w:rFonts w:ascii="Times New Roman" w:cs="Times New Roman" w:eastAsia="Times New Roman" w:hAnsi="Times New Roman"/>
                <w:sz w:val="14"/>
                <w:szCs w:val="14"/>
                <w:color w:val="auto"/>
              </w:rPr>
              <w:t xml:space="preserve">print):             </w:t>
            </w:r>
          </w:p>
        </w:tc>
        <w:tc>
          <w:tcPr>
            <w:tcW w:w="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jc w:val="right"/>
              <w:ind w:right="54"/>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2"/>
                <w:szCs w:val="2"/>
                <w:color w:val="auto"/>
                <w:w w:val="97"/>
              </w:rPr>
              <w:t> </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jc w:val="right"/>
              <w:ind w:right="54"/>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jc w:val="right"/>
              <w:ind w:right="4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w w:val="71"/>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 xml:space="preserve">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gridSpan w:val="3"/>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900" w:type="dxa"/>
            <w:vAlign w:val="bottom"/>
            <w:gridSpan w:val="7"/>
          </w:tcPr>
          <w:p>
            <w:pPr>
              <w:spacing w:after="0" w:line="145" w:lineRule="exact"/>
              <w:rPr>
                <w:sz w:val="20"/>
                <w:szCs w:val="20"/>
                <w:color w:val="auto"/>
              </w:rPr>
            </w:pPr>
            <w:r>
              <w:rPr>
                <w:rFonts w:ascii="Times New Roman" w:cs="Times New Roman" w:eastAsia="Times New Roman" w:hAnsi="Times New Roman"/>
                <w:sz w:val="14"/>
                <w:szCs w:val="14"/>
                <w:color w:val="auto"/>
                <w:w w:val="85"/>
              </w:rPr>
              <w:t> </w:t>
            </w:r>
          </w:p>
        </w:tc>
      </w:tr>
      <w:tr>
        <w:trPr>
          <w:trHeight w:val="20"/>
        </w:trPr>
        <w:tc>
          <w:tcPr>
            <w:tcW w:w="5780" w:type="dxa"/>
            <w:vAlign w:val="bottom"/>
            <w:tcBorders>
              <w:right w:val="single" w:sz="8" w:color="auto"/>
            </w:tcBorders>
            <w:gridSpan w:val="45"/>
          </w:tcPr>
          <w:p>
            <w:pPr>
              <w:spacing w:after="0" w:line="20" w:lineRule="exact"/>
              <w:rPr>
                <w:sz w:val="1"/>
                <w:szCs w:val="1"/>
                <w:color w:val="auto"/>
              </w:rPr>
            </w:pPr>
          </w:p>
        </w:tc>
        <w:tc>
          <w:tcPr>
            <w:tcW w:w="2740" w:type="dxa"/>
            <w:vAlign w:val="bottom"/>
            <w:gridSpan w:val="22"/>
            <w:shd w:val="clear" w:color="auto" w:fill="000000"/>
          </w:tcPr>
          <w:p>
            <w:pPr>
              <w:spacing w:after="0" w:line="20" w:lineRule="exact"/>
              <w:rPr>
                <w:sz w:val="1"/>
                <w:szCs w:val="1"/>
                <w:color w:val="auto"/>
              </w:rPr>
            </w:pPr>
          </w:p>
        </w:tc>
      </w:tr>
      <w:tr>
        <w:trPr>
          <w:trHeight w:val="490"/>
        </w:trPr>
        <w:tc>
          <w:tcPr>
            <w:tcW w:w="11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 xml:space="preserve">Address: 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jc w:val="right"/>
              <w:ind w:right="34"/>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2"/>
                <w:szCs w:val="2"/>
                <w:color w:val="auto"/>
                <w:w w:val="97"/>
              </w:rPr>
              <w:t> </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jc w:val="right"/>
              <w:ind w:right="34"/>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jc w:val="right"/>
              <w:ind w:right="4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jc w:val="right"/>
              <w:ind w:right="56"/>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85"/>
              </w:rPr>
              <w:t> </w:t>
            </w:r>
          </w:p>
        </w:tc>
      </w:tr>
      <w:tr>
        <w:trPr>
          <w:trHeight w:val="20"/>
        </w:trPr>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720" w:type="dxa"/>
            <w:vAlign w:val="bottom"/>
            <w:gridSpan w:val="7"/>
            <w:shd w:val="clear" w:color="auto" w:fill="000000"/>
          </w:tcPr>
          <w:p>
            <w:pPr>
              <w:spacing w:after="0" w:line="20" w:lineRule="exact"/>
              <w:rPr>
                <w:sz w:val="1"/>
                <w:szCs w:val="1"/>
                <w:color w:val="auto"/>
              </w:rPr>
            </w:pPr>
          </w:p>
        </w:tc>
        <w:tc>
          <w:tcPr>
            <w:tcW w:w="680" w:type="dxa"/>
            <w:vAlign w:val="bottom"/>
            <w:gridSpan w:val="6"/>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0"/>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w w:val="87"/>
              </w:rPr>
              <w:t>Telephone</w:t>
            </w:r>
          </w:p>
        </w:tc>
        <w:tc>
          <w:tcPr>
            <w:tcW w:w="60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w w:val="90"/>
              </w:rPr>
              <w:t>Number: 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940" w:type="dxa"/>
            <w:vAlign w:val="bottom"/>
            <w:gridSpan w:val="9"/>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68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8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60" w:type="dxa"/>
            <w:vAlign w:val="bottom"/>
          </w:tcPr>
          <w:p>
            <w:pPr>
              <w:ind w:left="2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ind w:right="36"/>
              <w:spacing w:after="0"/>
              <w:rPr>
                <w:sz w:val="20"/>
                <w:szCs w:val="20"/>
                <w:color w:val="auto"/>
              </w:rPr>
            </w:pPr>
            <w:r>
              <w:rPr>
                <w:rFonts w:ascii="Times New Roman" w:cs="Times New Roman" w:eastAsia="Times New Roman" w:hAnsi="Times New Roman"/>
                <w:sz w:val="5"/>
                <w:szCs w:val="5"/>
                <w:color w:val="auto"/>
                <w:w w:val="79"/>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gridSpan w:val="2"/>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71"/>
              </w:rPr>
              <w:t> </w:t>
            </w:r>
          </w:p>
        </w:tc>
      </w:tr>
      <w:tr>
        <w:trPr>
          <w:trHeight w:val="20"/>
        </w:trPr>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1400" w:type="dxa"/>
            <w:vAlign w:val="bottom"/>
            <w:gridSpan w:val="1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508"/>
        </w:trPr>
        <w:tc>
          <w:tcPr>
            <w:tcW w:w="292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Taxpayer Identification or Social Security Number:</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5"/>
        </w:trPr>
        <w:tc>
          <w:tcPr>
            <w:tcW w:w="76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 xml:space="preserve">             </w:t>
            </w:r>
          </w:p>
        </w:tc>
        <w:tc>
          <w:tcPr>
            <w:tcW w:w="400" w:type="dxa"/>
            <w:vAlign w:val="bottom"/>
            <w:gridSpan w:val="5"/>
          </w:tcPr>
          <w:p>
            <w:pPr>
              <w:jc w:val="right"/>
              <w:ind w:right="34"/>
              <w:spacing w:after="0" w:line="145" w:lineRule="exact"/>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40" w:type="dxa"/>
            <w:vAlign w:val="bottom"/>
          </w:tcPr>
          <w:p>
            <w:pPr>
              <w:spacing w:after="0"/>
              <w:rPr>
                <w:sz w:val="12"/>
                <w:szCs w:val="12"/>
                <w:color w:val="auto"/>
              </w:rPr>
            </w:pP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5"/>
                <w:szCs w:val="5"/>
                <w:color w:val="auto"/>
                <w:w w:val="79"/>
              </w:rPr>
              <w:t> </w:t>
            </w:r>
          </w:p>
        </w:tc>
        <w:tc>
          <w:tcPr>
            <w:tcW w:w="36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40" w:type="dxa"/>
            <w:vAlign w:val="bottom"/>
          </w:tcPr>
          <w:p>
            <w:pPr>
              <w:spacing w:after="0"/>
              <w:rPr>
                <w:sz w:val="12"/>
                <w:szCs w:val="12"/>
                <w:color w:val="auto"/>
              </w:rPr>
            </w:pPr>
          </w:p>
        </w:tc>
        <w:tc>
          <w:tcPr>
            <w:tcW w:w="36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540" w:type="dxa"/>
            <w:vAlign w:val="bottom"/>
            <w:gridSpan w:val="5"/>
          </w:tcPr>
          <w:p>
            <w:pPr>
              <w:ind w:left="60"/>
              <w:spacing w:after="0" w:line="145" w:lineRule="exact"/>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gridSpan w:val="2"/>
          </w:tcPr>
          <w:p>
            <w:pPr>
              <w:jc w:val="right"/>
              <w:ind w:right="22"/>
              <w:spacing w:after="0" w:line="145" w:lineRule="exact"/>
              <w:rPr>
                <w:sz w:val="20"/>
                <w:szCs w:val="20"/>
                <w:color w:val="auto"/>
              </w:rPr>
            </w:pPr>
            <w:r>
              <w:rPr>
                <w:rFonts w:ascii="Times New Roman" w:cs="Times New Roman" w:eastAsia="Times New Roman" w:hAnsi="Times New Roman"/>
                <w:sz w:val="14"/>
                <w:szCs w:val="14"/>
                <w:color w:val="auto"/>
              </w:rPr>
              <w:t xml:space="preserve">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320" w:type="dxa"/>
            <w:vAlign w:val="bottom"/>
            <w:gridSpan w:val="2"/>
          </w:tcPr>
          <w:p>
            <w:pPr>
              <w:jc w:val="right"/>
              <w:ind w:right="62"/>
              <w:spacing w:after="0" w:line="145" w:lineRule="exact"/>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560" w:type="dxa"/>
            <w:vAlign w:val="bottom"/>
            <w:tcBorders>
              <w:right w:val="single" w:sz="8" w:color="auto"/>
            </w:tcBorders>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5020" w:type="dxa"/>
            <w:vAlign w:val="bottom"/>
            <w:tcBorders>
              <w:right w:val="single" w:sz="8" w:color="auto"/>
            </w:tcBorders>
            <w:gridSpan w:val="43"/>
            <w:shd w:val="clear" w:color="auto" w:fill="000000"/>
          </w:tcPr>
          <w:p>
            <w:pPr>
              <w:spacing w:after="0" w:line="20" w:lineRule="exact"/>
              <w:rPr>
                <w:sz w:val="1"/>
                <w:szCs w:val="1"/>
                <w:color w:val="auto"/>
              </w:rPr>
            </w:pPr>
          </w:p>
        </w:tc>
        <w:tc>
          <w:tcPr>
            <w:tcW w:w="2740" w:type="dxa"/>
            <w:vAlign w:val="bottom"/>
            <w:gridSpan w:val="22"/>
          </w:tcPr>
          <w:p>
            <w:pPr>
              <w:spacing w:after="0" w:line="20" w:lineRule="exact"/>
              <w:rPr>
                <w:sz w:val="1"/>
                <w:szCs w:val="1"/>
                <w:color w:val="auto"/>
              </w:rPr>
            </w:pPr>
          </w:p>
        </w:tc>
      </w:tr>
      <w:tr>
        <w:trPr>
          <w:trHeight w:val="490"/>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Date:    </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40" w:type="dxa"/>
            <w:vAlign w:val="bottom"/>
          </w:tcPr>
          <w:p>
            <w:pPr>
              <w:jc w:val="right"/>
              <w:ind w:right="14"/>
              <w:spacing w:after="0"/>
              <w:rPr>
                <w:sz w:val="20"/>
                <w:szCs w:val="20"/>
                <w:color w:val="auto"/>
              </w:rPr>
            </w:pPr>
            <w:r>
              <w:rPr>
                <w:rFonts w:ascii="Times New Roman" w:cs="Times New Roman" w:eastAsia="Times New Roman" w:hAnsi="Times New Roman"/>
                <w:sz w:val="1"/>
                <w:szCs w:val="1"/>
                <w:color w:val="auto"/>
                <w:w w:val="4294967291"/>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60" w:type="dxa"/>
            <w:vAlign w:val="bottom"/>
          </w:tcPr>
          <w:p>
            <w:pPr>
              <w:spacing w:after="0"/>
              <w:rPr>
                <w:sz w:val="20"/>
                <w:szCs w:val="20"/>
                <w:color w:val="auto"/>
              </w:rPr>
            </w:pPr>
            <w:r>
              <w:rPr>
                <w:rFonts w:ascii="Times New Roman" w:cs="Times New Roman" w:eastAsia="Times New Roman" w:hAnsi="Times New Roman"/>
                <w:sz w:val="5"/>
                <w:szCs w:val="5"/>
                <w:color w:val="auto"/>
                <w:w w:val="79"/>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Pr>
          <w:p>
            <w:pPr>
              <w:jc w:val="right"/>
              <w:ind w:right="102"/>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jc w:val="right"/>
              <w:ind w:right="36"/>
              <w:spacing w:after="0"/>
              <w:rPr>
                <w:sz w:val="20"/>
                <w:szCs w:val="20"/>
                <w:color w:val="auto"/>
              </w:rPr>
            </w:pPr>
            <w:r>
              <w:rPr>
                <w:rFonts w:ascii="Times New Roman" w:cs="Times New Roman" w:eastAsia="Times New Roman" w:hAnsi="Times New Roman"/>
                <w:sz w:val="11"/>
                <w:szCs w:val="11"/>
                <w:color w:val="auto"/>
                <w:w w:val="71"/>
              </w:rPr>
              <w:t xml:space="preserve">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gridSpan w:val="2"/>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85"/>
              </w:rPr>
              <w:t> </w:t>
            </w:r>
          </w:p>
        </w:tc>
      </w:tr>
      <w:tr>
        <w:trPr>
          <w:trHeight w:val="20"/>
        </w:trPr>
        <w:tc>
          <w:tcPr>
            <w:tcW w:w="760" w:type="dxa"/>
            <w:vAlign w:val="bottom"/>
            <w:tcBorders>
              <w:right w:val="single" w:sz="8" w:color="auto"/>
            </w:tcBorders>
            <w:gridSpan w:val="2"/>
          </w:tcPr>
          <w:p>
            <w:pPr>
              <w:spacing w:after="0" w:line="20" w:lineRule="exact"/>
              <w:rPr>
                <w:sz w:val="1"/>
                <w:szCs w:val="1"/>
                <w:color w:val="auto"/>
              </w:rPr>
            </w:pPr>
          </w:p>
        </w:tc>
        <w:tc>
          <w:tcPr>
            <w:tcW w:w="5020" w:type="dxa"/>
            <w:vAlign w:val="bottom"/>
            <w:tcBorders>
              <w:right w:val="single" w:sz="8" w:color="auto"/>
            </w:tcBorders>
            <w:gridSpan w:val="43"/>
            <w:shd w:val="clear" w:color="auto" w:fill="000000"/>
          </w:tcPr>
          <w:p>
            <w:pPr>
              <w:spacing w:after="0" w:line="20" w:lineRule="exact"/>
              <w:rPr>
                <w:sz w:val="1"/>
                <w:szCs w:val="1"/>
                <w:color w:val="auto"/>
              </w:rPr>
            </w:pPr>
          </w:p>
        </w:tc>
        <w:tc>
          <w:tcPr>
            <w:tcW w:w="2740" w:type="dxa"/>
            <w:vAlign w:val="bottom"/>
            <w:gridSpan w:val="22"/>
            <w:shd w:val="clear" w:color="auto" w:fill="000000"/>
          </w:tcPr>
          <w:p>
            <w:pPr>
              <w:spacing w:after="0" w:line="20" w:lineRule="exact"/>
              <w:rPr>
                <w:sz w:val="1"/>
                <w:szCs w:val="1"/>
                <w:color w:val="auto"/>
              </w:rPr>
            </w:pPr>
          </w:p>
        </w:tc>
      </w:tr>
    </w:tbl>
    <w:p>
      <w:pPr>
        <w:sectPr>
          <w:pgSz w:w="11900" w:h="16838" w:orient="portrait"/>
          <w:cols w:equalWidth="0" w:num="1">
            <w:col w:w="9019"/>
          </w:cols>
          <w:pgMar w:left="1440" w:top="239" w:right="1440" w:bottom="1440" w:gutter="0" w:footer="0" w:header="0"/>
        </w:sectPr>
      </w:pPr>
    </w:p>
    <w:bookmarkStart w:id="139" w:name="page140"/>
    <w:bookmarkEnd w:id="139"/>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SHELL FINANCE US INC.</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Offer to Exchange</w:t>
      </w:r>
    </w:p>
    <w:p>
      <w:pPr>
        <w:spacing w:after="0" w:line="166" w:lineRule="exact"/>
        <w:rPr>
          <w:sz w:val="20"/>
          <w:szCs w:val="20"/>
          <w:color w:val="auto"/>
        </w:rPr>
      </w:pPr>
    </w:p>
    <w:p>
      <w:pPr>
        <w:jc w:val="center"/>
        <w:ind w:left="340" w:right="359"/>
        <w:spacing w:after="0" w:line="256" w:lineRule="auto"/>
        <w:rPr>
          <w:sz w:val="20"/>
          <w:szCs w:val="20"/>
          <w:color w:val="auto"/>
        </w:rPr>
      </w:pPr>
      <w:r>
        <w:rPr>
          <w:rFonts w:ascii="Times New Roman" w:cs="Times New Roman" w:eastAsia="Times New Roman" w:hAnsi="Times New Roman"/>
          <w:sz w:val="14"/>
          <w:szCs w:val="14"/>
          <w:b w:val="1"/>
          <w:bCs w:val="1"/>
          <w:color w:val="auto"/>
        </w:rPr>
        <w:t>Up to $920,732,000 3.875% Guaranteed Notes due 2028 (CUSIP U8209LAA0, ISIN USU8209LAA09 / CUSIP 822905AR6, ISIN US822905AR69) for a like principal amount of 3.875% Guaranteed Notes due 2028 registered under the Securities Act of 1933, as amended (the “</w:t>
      </w:r>
      <w:r>
        <w:rPr>
          <w:rFonts w:ascii="Times New Roman" w:cs="Times New Roman" w:eastAsia="Times New Roman" w:hAnsi="Times New Roman"/>
          <w:sz w:val="14"/>
          <w:szCs w:val="14"/>
          <w:b w:val="1"/>
          <w:bCs w:val="1"/>
          <w:u w:val="single" w:color="auto"/>
          <w:color w:val="auto"/>
        </w:rPr>
        <w:t>Securities Act</w:t>
      </w:r>
      <w:r>
        <w:rPr>
          <w:rFonts w:ascii="Times New Roman" w:cs="Times New Roman" w:eastAsia="Times New Roman" w:hAnsi="Times New Roman"/>
          <w:sz w:val="14"/>
          <w:szCs w:val="14"/>
          <w:b w:val="1"/>
          <w:bCs w:val="1"/>
          <w:color w:val="auto"/>
        </w:rPr>
        <w:t>”)</w:t>
      </w:r>
    </w:p>
    <w:p>
      <w:pPr>
        <w:spacing w:after="0" w:line="107" w:lineRule="exact"/>
        <w:rPr>
          <w:sz w:val="20"/>
          <w:szCs w:val="20"/>
          <w:color w:val="auto"/>
        </w:rPr>
      </w:pPr>
    </w:p>
    <w:p>
      <w:pPr>
        <w:jc w:val="center"/>
        <w:ind w:left="340" w:right="359"/>
        <w:spacing w:after="0" w:line="270" w:lineRule="auto"/>
        <w:rPr>
          <w:sz w:val="20"/>
          <w:szCs w:val="20"/>
          <w:color w:val="auto"/>
        </w:rPr>
      </w:pPr>
      <w:r>
        <w:rPr>
          <w:rFonts w:ascii="Times New Roman" w:cs="Times New Roman" w:eastAsia="Times New Roman" w:hAnsi="Times New Roman"/>
          <w:sz w:val="14"/>
          <w:szCs w:val="14"/>
          <w:b w:val="1"/>
          <w:bCs w:val="1"/>
          <w:color w:val="auto"/>
        </w:rPr>
        <w:t>Up to $2,063,148,000 6.375% Guaranteed Notes due 2038 (CUSIP U8209LAB8, ISIN USU8209LAB81 / CUSIP 822905AT2, ISIN US822905AT26) for a like principal amount of 6.375% Guaranteed Notes due 2038 registered under the Securities Act</w:t>
      </w:r>
    </w:p>
    <w:p>
      <w:pPr>
        <w:spacing w:after="0" w:line="107" w:lineRule="exact"/>
        <w:rPr>
          <w:sz w:val="20"/>
          <w:szCs w:val="20"/>
          <w:color w:val="auto"/>
        </w:rPr>
      </w:pPr>
    </w:p>
    <w:p>
      <w:pPr>
        <w:jc w:val="center"/>
        <w:ind w:left="340" w:right="359"/>
        <w:spacing w:after="0" w:line="355" w:lineRule="auto"/>
        <w:rPr>
          <w:sz w:val="20"/>
          <w:szCs w:val="20"/>
          <w:color w:val="auto"/>
        </w:rPr>
      </w:pPr>
      <w:r>
        <w:rPr>
          <w:rFonts w:ascii="Times New Roman" w:cs="Times New Roman" w:eastAsia="Times New Roman" w:hAnsi="Times New Roman"/>
          <w:sz w:val="12"/>
          <w:szCs w:val="12"/>
          <w:b w:val="1"/>
          <w:bCs w:val="1"/>
          <w:color w:val="auto"/>
        </w:rPr>
        <w:t>Up to $802,108,000 5.500% Guaranteed Notes due 2040 (CUSIP U8209LAC6, ISIN USU8209LAC64 / CUSIP 822905AV7, ISIN US822905AV71) for a like principal amount of 5.500% Guaranteed Notes due 2040 registered under the Securities Act</w:t>
      </w:r>
    </w:p>
    <w:p>
      <w:pPr>
        <w:spacing w:after="0" w:line="51" w:lineRule="exact"/>
        <w:rPr>
          <w:sz w:val="20"/>
          <w:szCs w:val="20"/>
          <w:color w:val="auto"/>
        </w:rPr>
      </w:pPr>
    </w:p>
    <w:p>
      <w:pPr>
        <w:jc w:val="center"/>
        <w:ind w:left="1800" w:right="460"/>
        <w:spacing w:after="0" w:line="355" w:lineRule="auto"/>
        <w:rPr>
          <w:sz w:val="20"/>
          <w:szCs w:val="20"/>
          <w:color w:val="auto"/>
        </w:rPr>
      </w:pPr>
      <w:r>
        <w:rPr>
          <w:rFonts w:ascii="Times New Roman" w:cs="Times New Roman" w:eastAsia="Times New Roman" w:hAnsi="Times New Roman"/>
          <w:sz w:val="12"/>
          <w:szCs w:val="12"/>
          <w:b w:val="1"/>
          <w:bCs w:val="1"/>
          <w:color w:val="auto"/>
        </w:rPr>
        <w:t>Up to $691,199,000 5.125% Guaranteed Notes due 2041 (CUSIP U8209LAD4, ISIN USU8209LAD48 / CUSIP 822905AX3, ISIN US822905AX38) for a like principal amount of 5.125% Guaranteed Notes due 2041 registered under the Securities Act</w:t>
      </w:r>
    </w:p>
    <w:p>
      <w:pPr>
        <w:spacing w:after="0" w:line="51" w:lineRule="exact"/>
        <w:rPr>
          <w:sz w:val="20"/>
          <w:szCs w:val="20"/>
          <w:color w:val="auto"/>
        </w:rPr>
      </w:pPr>
    </w:p>
    <w:p>
      <w:pPr>
        <w:jc w:val="center"/>
        <w:ind w:left="340" w:right="359"/>
        <w:spacing w:after="0" w:line="355" w:lineRule="auto"/>
        <w:rPr>
          <w:sz w:val="20"/>
          <w:szCs w:val="20"/>
          <w:color w:val="auto"/>
        </w:rPr>
      </w:pPr>
      <w:r>
        <w:rPr>
          <w:rFonts w:ascii="Times New Roman" w:cs="Times New Roman" w:eastAsia="Times New Roman" w:hAnsi="Times New Roman"/>
          <w:sz w:val="12"/>
          <w:szCs w:val="12"/>
          <w:b w:val="1"/>
          <w:bCs w:val="1"/>
          <w:color w:val="auto"/>
        </w:rPr>
        <w:t>Up to $993,714,000 3.125% Guaranteed Notes due 2049 (CUSIP U8209LAE2, ISIN USU8209LAE21 / CUSIP 822905AZ8, ISIN US822905AZ85) for a like principal amount of 3.125% Guaranteed Notes due 2049 registered under the Securities Act</w:t>
      </w:r>
    </w:p>
    <w:p>
      <w:pPr>
        <w:spacing w:after="0" w:line="61" w:lineRule="exact"/>
        <w:rPr>
          <w:sz w:val="20"/>
          <w:szCs w:val="20"/>
          <w:color w:val="auto"/>
        </w:rPr>
      </w:pPr>
    </w:p>
    <w:p>
      <w:pPr>
        <w:jc w:val="center"/>
        <w:ind w:left="340" w:right="359"/>
        <w:spacing w:after="0" w:line="270" w:lineRule="auto"/>
        <w:rPr>
          <w:sz w:val="20"/>
          <w:szCs w:val="20"/>
          <w:color w:val="auto"/>
        </w:rPr>
      </w:pPr>
      <w:r>
        <w:rPr>
          <w:rFonts w:ascii="Times New Roman" w:cs="Times New Roman" w:eastAsia="Times New Roman" w:hAnsi="Times New Roman"/>
          <w:sz w:val="14"/>
          <w:szCs w:val="14"/>
          <w:b w:val="1"/>
          <w:bCs w:val="1"/>
          <w:color w:val="auto"/>
        </w:rPr>
        <w:t>Up to $876,828,000 3.000% Guaranteed Notes due 2051 (CUSIP U8209LAF9, ISIN USU8209LAF95 / CUSIP 822905BB0, ISIN US822905BB09) for a like principal amount of 3.000% Guaranteed Notes due 2051 registered under the Securities Act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the Prospectus dated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2026</w:t>
      </w:r>
    </w:p>
    <w:p>
      <w:pPr>
        <w:sectPr>
          <w:pgSz w:w="11900" w:h="16838" w:orient="portrait"/>
          <w:cols w:equalWidth="0" w:num="1">
            <w:col w:w="9019"/>
          </w:cols>
          <w:pgMar w:left="1440" w:top="122" w:right="1440" w:bottom="1440" w:gutter="0" w:footer="0" w:header="0"/>
        </w:sectPr>
      </w:pPr>
    </w:p>
    <w:bookmarkStart w:id="140" w:name="page141"/>
    <w:bookmarkEnd w:id="140"/>
    <w:p>
      <w:pPr>
        <w:jc w:val="both"/>
        <w:ind w:left="460" w:right="379"/>
        <w:spacing w:after="0" w:line="253"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204075" cy="31750"/>
                    </a:xfrm>
                    <a:prstGeom prst="rect">
                      <a:avLst/>
                    </a:prstGeom>
                    <a:noFill/>
                  </pic:spPr>
                </pic:pic>
              </a:graphicData>
            </a:graphic>
          </wp:anchor>
        </w:drawing>
        <w:t xml:space="preserve">EACH EXCHANGE OFFER WILL EXPIRE AT 5:00 P.M., NEW YORK CITY TIME, ON [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 2026, UNLESS EXTENDED (SUCH TIME AND DATE, AS THE SAME MAY BE EXTENDED FROM TIME TO TIME, THE “EXPIRATION DATE”). TENDERS MAY BE WITHDRAWN AT ANY TIME PRIOR TO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-482600</wp:posOffset>
            </wp:positionV>
            <wp:extent cx="5293360" cy="4794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5293360" cy="479425"/>
                    </a:xfrm>
                    <a:prstGeom prst="rect">
                      <a:avLst/>
                    </a:prstGeom>
                    <a:noFill/>
                  </pic:spPr>
                </pic:pic>
              </a:graphicData>
            </a:graphic>
          </wp:anchor>
        </w:drawing>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 Brokers, Dealers, Commercial Banks, Trust Companies, Custodians and Similar Institutions:</w:t>
      </w:r>
    </w:p>
    <w:p>
      <w:pPr>
        <w:spacing w:after="0" w:line="166" w:lineRule="exact"/>
        <w:rPr>
          <w:sz w:val="20"/>
          <w:szCs w:val="20"/>
          <w:color w:val="auto"/>
        </w:rPr>
      </w:pPr>
    </w:p>
    <w:p>
      <w:pPr>
        <w:jc w:val="both"/>
        <w:ind w:left="340" w:right="359"/>
        <w:spacing w:after="0" w:line="250" w:lineRule="auto"/>
        <w:rPr>
          <w:sz w:val="20"/>
          <w:szCs w:val="20"/>
          <w:color w:val="auto"/>
        </w:rPr>
      </w:pPr>
      <w:r>
        <w:rPr>
          <w:rFonts w:ascii="Times New Roman" w:cs="Times New Roman" w:eastAsia="Times New Roman" w:hAnsi="Times New Roman"/>
          <w:sz w:val="14"/>
          <w:szCs w:val="14"/>
          <w:color w:val="auto"/>
        </w:rPr>
        <w:t>Shell Finance US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is offering, upon and subject to the terms and conditions set forth in the prospectus, dated [●], 2026 (as amended or supplemented, the “</w:t>
      </w:r>
      <w:r>
        <w:rPr>
          <w:rFonts w:ascii="Times New Roman" w:cs="Times New Roman" w:eastAsia="Times New Roman" w:hAnsi="Times New Roman"/>
          <w:sz w:val="14"/>
          <w:szCs w:val="14"/>
          <w:u w:val="single" w:color="auto"/>
          <w:color w:val="auto"/>
        </w:rPr>
        <w:t>Prospectus</w:t>
      </w:r>
      <w:r>
        <w:rPr>
          <w:rFonts w:ascii="Times New Roman" w:cs="Times New Roman" w:eastAsia="Times New Roman" w:hAnsi="Times New Roman"/>
          <w:sz w:val="14"/>
          <w:szCs w:val="14"/>
          <w:color w:val="auto"/>
        </w:rPr>
        <w:t>”) to exchange (the “</w:t>
      </w:r>
      <w:r>
        <w:rPr>
          <w:rFonts w:ascii="Times New Roman" w:cs="Times New Roman" w:eastAsia="Times New Roman" w:hAnsi="Times New Roman"/>
          <w:sz w:val="14"/>
          <w:szCs w:val="14"/>
          <w:u w:val="single" w:color="auto"/>
          <w:color w:val="auto"/>
        </w:rPr>
        <w:t>Exchange Offers</w:t>
      </w:r>
      <w:r>
        <w:rPr>
          <w:rFonts w:ascii="Times New Roman" w:cs="Times New Roman" w:eastAsia="Times New Roman" w:hAnsi="Times New Roman"/>
          <w:sz w:val="14"/>
          <w:szCs w:val="14"/>
          <w:color w:val="auto"/>
        </w:rPr>
        <w:t>”) up to the aggregate principal amount outstanding of the corresponding series of each series of Restricted Notes (as defined below) for a like aggregate principal amount of Exchange Notes (as defined below) in a transaction registered under the Securities Act.</w:t>
      </w:r>
    </w:p>
    <w:p>
      <w:pPr>
        <w:spacing w:after="0" w:line="147" w:lineRule="exact"/>
        <w:rPr>
          <w:sz w:val="20"/>
          <w:szCs w:val="20"/>
          <w:color w:val="auto"/>
        </w:rPr>
      </w:pPr>
    </w:p>
    <w:tbl>
      <w:tblPr>
        <w:tblLayout w:type="fixed"/>
        <w:tblInd w:w="820" w:type="dxa"/>
        <w:tblCellMar>
          <w:top w:w="0" w:type="dxa"/>
          <w:left w:w="0" w:type="dxa"/>
          <w:bottom w:w="0" w:type="dxa"/>
          <w:right w:w="0" w:type="dxa"/>
        </w:tblCellMar>
      </w:tblPr>
      <w:tr>
        <w:trPr>
          <w:trHeight w:val="126"/>
        </w:trPr>
        <w:tc>
          <w:tcPr>
            <w:tcW w:w="180" w:type="dxa"/>
            <w:vAlign w:val="bottom"/>
          </w:tcPr>
          <w:p>
            <w:pPr>
              <w:spacing w:after="0"/>
              <w:rPr>
                <w:sz w:val="11"/>
                <w:szCs w:val="11"/>
                <w:color w:val="auto"/>
              </w:rPr>
            </w:pPr>
          </w:p>
        </w:tc>
        <w:tc>
          <w:tcPr>
            <w:tcW w:w="2500" w:type="dxa"/>
            <w:vAlign w:val="bottom"/>
            <w:gridSpan w:val="2"/>
            <w:vMerge w:val="restart"/>
          </w:tcPr>
          <w:p>
            <w:pPr>
              <w:jc w:val="center"/>
              <w:ind w:right="900"/>
              <w:spacing w:after="0"/>
              <w:rPr>
                <w:sz w:val="20"/>
                <w:szCs w:val="20"/>
                <w:color w:val="auto"/>
              </w:rPr>
            </w:pPr>
            <w:r>
              <w:rPr>
                <w:rFonts w:ascii="Times New Roman" w:cs="Times New Roman" w:eastAsia="Times New Roman" w:hAnsi="Times New Roman"/>
                <w:sz w:val="11"/>
                <w:szCs w:val="11"/>
                <w:color w:val="auto"/>
                <w:w w:val="97"/>
              </w:rPr>
              <w:t>Series of Restricted Notes</w:t>
            </w:r>
          </w:p>
        </w:tc>
        <w:tc>
          <w:tcPr>
            <w:tcW w:w="72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Aggregate Principal</w:t>
            </w:r>
          </w:p>
        </w:tc>
        <w:tc>
          <w:tcPr>
            <w:tcW w:w="3220" w:type="dxa"/>
            <w:vAlign w:val="bottom"/>
            <w:gridSpan w:val="3"/>
          </w:tcPr>
          <w:p>
            <w:pPr>
              <w:jc w:val="center"/>
              <w:ind w:left="1194"/>
              <w:spacing w:after="0"/>
              <w:rPr>
                <w:sz w:val="20"/>
                <w:szCs w:val="20"/>
                <w:color w:val="auto"/>
              </w:rPr>
            </w:pPr>
            <w:r>
              <w:rPr>
                <w:rFonts w:ascii="Times New Roman" w:cs="Times New Roman" w:eastAsia="Times New Roman" w:hAnsi="Times New Roman"/>
                <w:sz w:val="11"/>
                <w:szCs w:val="11"/>
                <w:color w:val="auto"/>
                <w:w w:val="97"/>
              </w:rPr>
              <w:t>Series of Notes Registered Under the</w:t>
            </w:r>
          </w:p>
        </w:tc>
        <w:tc>
          <w:tcPr>
            <w:tcW w:w="0" w:type="dxa"/>
            <w:vAlign w:val="bottom"/>
          </w:tcPr>
          <w:p>
            <w:pPr>
              <w:spacing w:after="0"/>
              <w:rPr>
                <w:sz w:val="1"/>
                <w:szCs w:val="1"/>
                <w:color w:val="auto"/>
              </w:rPr>
            </w:pPr>
          </w:p>
        </w:tc>
      </w:tr>
      <w:tr>
        <w:trPr>
          <w:trHeight w:val="112"/>
        </w:trPr>
        <w:tc>
          <w:tcPr>
            <w:tcW w:w="180" w:type="dxa"/>
            <w:vAlign w:val="bottom"/>
          </w:tcPr>
          <w:p>
            <w:pPr>
              <w:spacing w:after="0"/>
              <w:rPr>
                <w:sz w:val="9"/>
                <w:szCs w:val="9"/>
                <w:color w:val="auto"/>
              </w:rPr>
            </w:pPr>
          </w:p>
        </w:tc>
        <w:tc>
          <w:tcPr>
            <w:tcW w:w="250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1780" w:type="dxa"/>
            <w:vAlign w:val="bottom"/>
            <w:gridSpan w:val="2"/>
          </w:tcPr>
          <w:p>
            <w:pPr>
              <w:jc w:val="center"/>
              <w:ind w:right="180"/>
              <w:spacing w:after="0" w:line="112" w:lineRule="exact"/>
              <w:rPr>
                <w:sz w:val="20"/>
                <w:szCs w:val="20"/>
                <w:color w:val="auto"/>
              </w:rPr>
            </w:pPr>
            <w:r>
              <w:rPr>
                <w:rFonts w:ascii="Times New Roman" w:cs="Times New Roman" w:eastAsia="Times New Roman" w:hAnsi="Times New Roman"/>
                <w:sz w:val="11"/>
                <w:szCs w:val="11"/>
                <w:color w:val="auto"/>
                <w:w w:val="96"/>
              </w:rPr>
              <w:t>Securities Act</w:t>
            </w:r>
          </w:p>
        </w:tc>
        <w:tc>
          <w:tcPr>
            <w:tcW w:w="0" w:type="dxa"/>
            <w:vAlign w:val="bottom"/>
          </w:tcPr>
          <w:p>
            <w:pPr>
              <w:spacing w:after="0"/>
              <w:rPr>
                <w:sz w:val="1"/>
                <w:szCs w:val="1"/>
                <w:color w:val="auto"/>
              </w:rPr>
            </w:pPr>
          </w:p>
        </w:tc>
      </w:tr>
      <w:tr>
        <w:trPr>
          <w:trHeight w:val="119"/>
        </w:trPr>
        <w:tc>
          <w:tcPr>
            <w:tcW w:w="18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w w:val="75"/>
              </w:rPr>
              <w:t>3.</w:t>
            </w:r>
          </w:p>
        </w:tc>
        <w:tc>
          <w:tcPr>
            <w:tcW w:w="2500" w:type="dxa"/>
            <w:vAlign w:val="bottom"/>
            <w:gridSpan w:val="2"/>
          </w:tcPr>
          <w:p>
            <w:pPr>
              <w:jc w:val="center"/>
              <w:ind w:right="900"/>
              <w:spacing w:after="0" w:line="120" w:lineRule="exact"/>
              <w:rPr>
                <w:sz w:val="20"/>
                <w:szCs w:val="20"/>
                <w:color w:val="auto"/>
              </w:rPr>
            </w:pPr>
            <w:r>
              <w:rPr>
                <w:rFonts w:ascii="Times New Roman" w:cs="Times New Roman" w:eastAsia="Times New Roman" w:hAnsi="Times New Roman"/>
                <w:sz w:val="11"/>
                <w:szCs w:val="11"/>
                <w:color w:val="auto"/>
                <w:w w:val="98"/>
              </w:rPr>
              <w:t xml:space="preserve">(collectively, the </w:t>
            </w:r>
            <w:r>
              <w:rPr>
                <w:rFonts w:ascii="Times New Roman" w:cs="Times New Roman" w:eastAsia="Times New Roman" w:hAnsi="Times New Roman"/>
                <w:sz w:val="11"/>
                <w:szCs w:val="11"/>
                <w:u w:val="single" w:color="auto"/>
                <w:color w:val="auto"/>
                <w:w w:val="98"/>
              </w:rPr>
              <w:t>“</w:t>
            </w:r>
            <w:r>
              <w:rPr>
                <w:rFonts w:ascii="Times New Roman" w:cs="Times New Roman" w:eastAsia="Times New Roman" w:hAnsi="Times New Roman"/>
                <w:sz w:val="11"/>
                <w:szCs w:val="11"/>
                <w:color w:val="auto"/>
                <w:w w:val="98"/>
              </w:rPr>
              <w:t>Restricted Notes”)</w:t>
            </w:r>
          </w:p>
        </w:tc>
        <w:tc>
          <w:tcPr>
            <w:tcW w:w="1640" w:type="dxa"/>
            <w:vAlign w:val="bottom"/>
            <w:gridSpan w:val="2"/>
          </w:tcPr>
          <w:p>
            <w:pPr>
              <w:jc w:val="center"/>
              <w:ind w:left="654"/>
              <w:spacing w:after="0" w:line="120" w:lineRule="exact"/>
              <w:rPr>
                <w:sz w:val="20"/>
                <w:szCs w:val="20"/>
                <w:color w:val="auto"/>
              </w:rPr>
            </w:pPr>
            <w:r>
              <w:rPr>
                <w:rFonts w:ascii="Times New Roman" w:cs="Times New Roman" w:eastAsia="Times New Roman" w:hAnsi="Times New Roman"/>
                <w:sz w:val="11"/>
                <w:szCs w:val="11"/>
                <w:color w:val="auto"/>
                <w:w w:val="99"/>
              </w:rPr>
              <w:t>Amount Outstanding</w:t>
            </w:r>
          </w:p>
        </w:tc>
        <w:tc>
          <w:tcPr>
            <w:tcW w:w="144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color w:val="auto"/>
              </w:rPr>
              <w:t>3.</w:t>
            </w:r>
          </w:p>
        </w:tc>
        <w:tc>
          <w:tcPr>
            <w:tcW w:w="178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1"/>
                <w:szCs w:val="11"/>
                <w:color w:val="auto"/>
                <w:w w:val="98"/>
              </w:rPr>
              <w:t xml:space="preserve">(collectively, the </w:t>
            </w:r>
            <w:r>
              <w:rPr>
                <w:rFonts w:ascii="Times New Roman" w:cs="Times New Roman" w:eastAsia="Times New Roman" w:hAnsi="Times New Roman"/>
                <w:sz w:val="11"/>
                <w:szCs w:val="11"/>
                <w:u w:val="single" w:color="auto"/>
                <w:color w:val="auto"/>
                <w:w w:val="98"/>
              </w:rPr>
              <w:t>“</w:t>
            </w:r>
            <w:r>
              <w:rPr>
                <w:rFonts w:ascii="Times New Roman" w:cs="Times New Roman" w:eastAsia="Times New Roman" w:hAnsi="Times New Roman"/>
                <w:sz w:val="11"/>
                <w:szCs w:val="11"/>
                <w:color w:val="auto"/>
                <w:w w:val="98"/>
              </w:rPr>
              <w:t>Exchange Notes”)</w:t>
            </w:r>
          </w:p>
        </w:tc>
        <w:tc>
          <w:tcPr>
            <w:tcW w:w="0" w:type="dxa"/>
            <w:vAlign w:val="bottom"/>
          </w:tcPr>
          <w:p>
            <w:pPr>
              <w:spacing w:after="0"/>
              <w:rPr>
                <w:sz w:val="1"/>
                <w:szCs w:val="1"/>
                <w:color w:val="auto"/>
              </w:rPr>
            </w:pPr>
          </w:p>
        </w:tc>
      </w:tr>
      <w:tr>
        <w:trPr>
          <w:trHeight w:val="20"/>
        </w:trPr>
        <w:tc>
          <w:tcPr>
            <w:tcW w:w="180" w:type="dxa"/>
            <w:vAlign w:val="bottom"/>
            <w:vMerge w:val="continue"/>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80" w:type="dxa"/>
            <w:vAlign w:val="bottom"/>
            <w:vMerge w:val="continue"/>
          </w:tcPr>
          <w:p>
            <w:pPr>
              <w:spacing w:after="0"/>
              <w:rPr>
                <w:sz w:val="13"/>
                <w:szCs w:val="13"/>
                <w:color w:val="auto"/>
              </w:rPr>
            </w:pPr>
          </w:p>
        </w:tc>
        <w:tc>
          <w:tcPr>
            <w:tcW w:w="250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875% Guaranteed Notes due 2028</w:t>
            </w:r>
          </w:p>
        </w:tc>
        <w:tc>
          <w:tcPr>
            <w:tcW w:w="720" w:type="dxa"/>
            <w:vAlign w:val="bottom"/>
            <w:vMerge w:val="continue"/>
          </w:tcPr>
          <w:p>
            <w:pPr>
              <w:spacing w:after="0"/>
              <w:rPr>
                <w:sz w:val="13"/>
                <w:szCs w:val="13"/>
                <w:color w:val="auto"/>
              </w:rPr>
            </w:pPr>
          </w:p>
        </w:tc>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w w:val="98"/>
              </w:rPr>
              <w:t>$920,732,000</w:t>
            </w:r>
          </w:p>
        </w:tc>
        <w:tc>
          <w:tcPr>
            <w:tcW w:w="1440" w:type="dxa"/>
            <w:vAlign w:val="bottom"/>
            <w:vMerge w:val="continue"/>
          </w:tcPr>
          <w:p>
            <w:pPr>
              <w:spacing w:after="0"/>
              <w:rPr>
                <w:sz w:val="13"/>
                <w:szCs w:val="13"/>
                <w:color w:val="auto"/>
              </w:rPr>
            </w:pPr>
          </w:p>
        </w:tc>
        <w:tc>
          <w:tcPr>
            <w:tcW w:w="178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w w:val="91"/>
              </w:rPr>
              <w:t>875% Guaranteed Notes due 2028</w:t>
            </w:r>
          </w:p>
        </w:tc>
        <w:tc>
          <w:tcPr>
            <w:tcW w:w="0" w:type="dxa"/>
            <w:vAlign w:val="bottom"/>
          </w:tcPr>
          <w:p>
            <w:pPr>
              <w:spacing w:after="0"/>
              <w:rPr>
                <w:sz w:val="1"/>
                <w:szCs w:val="1"/>
                <w:color w:val="auto"/>
              </w:rPr>
            </w:pPr>
          </w:p>
        </w:tc>
      </w:tr>
      <w:tr>
        <w:trPr>
          <w:trHeight w:val="163"/>
        </w:trPr>
        <w:tc>
          <w:tcPr>
            <w:tcW w:w="26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color w:val="auto"/>
                <w:w w:val="96"/>
              </w:rPr>
              <w:t>6.375% Guaranteed Notes due 2038</w:t>
            </w:r>
          </w:p>
        </w:tc>
        <w:tc>
          <w:tcPr>
            <w:tcW w:w="1640" w:type="dxa"/>
            <w:vAlign w:val="bottom"/>
            <w:gridSpan w:val="2"/>
          </w:tcPr>
          <w:p>
            <w:pPr>
              <w:jc w:val="center"/>
              <w:ind w:left="654"/>
              <w:spacing w:after="0"/>
              <w:rPr>
                <w:sz w:val="20"/>
                <w:szCs w:val="20"/>
                <w:color w:val="auto"/>
              </w:rPr>
            </w:pPr>
            <w:r>
              <w:rPr>
                <w:rFonts w:ascii="Times New Roman" w:cs="Times New Roman" w:eastAsia="Times New Roman" w:hAnsi="Times New Roman"/>
                <w:sz w:val="14"/>
                <w:szCs w:val="14"/>
                <w:color w:val="auto"/>
                <w:w w:val="95"/>
              </w:rPr>
              <w:t>$2,063,148,000</w:t>
            </w:r>
          </w:p>
        </w:tc>
        <w:tc>
          <w:tcPr>
            <w:tcW w:w="3220" w:type="dxa"/>
            <w:vAlign w:val="bottom"/>
            <w:gridSpan w:val="3"/>
          </w:tcPr>
          <w:p>
            <w:pPr>
              <w:jc w:val="center"/>
              <w:ind w:left="1194"/>
              <w:spacing w:after="0"/>
              <w:rPr>
                <w:sz w:val="20"/>
                <w:szCs w:val="20"/>
                <w:color w:val="auto"/>
              </w:rPr>
            </w:pPr>
            <w:r>
              <w:rPr>
                <w:rFonts w:ascii="Times New Roman" w:cs="Times New Roman" w:eastAsia="Times New Roman" w:hAnsi="Times New Roman"/>
                <w:sz w:val="14"/>
                <w:szCs w:val="14"/>
                <w:color w:val="auto"/>
                <w:w w:val="96"/>
              </w:rPr>
              <w:t>6.375% Guaranteed Notes due 2038</w:t>
            </w:r>
          </w:p>
        </w:tc>
        <w:tc>
          <w:tcPr>
            <w:tcW w:w="0" w:type="dxa"/>
            <w:vAlign w:val="bottom"/>
          </w:tcPr>
          <w:p>
            <w:pPr>
              <w:spacing w:after="0"/>
              <w:rPr>
                <w:sz w:val="1"/>
                <w:szCs w:val="1"/>
                <w:color w:val="auto"/>
              </w:rPr>
            </w:pPr>
          </w:p>
        </w:tc>
      </w:tr>
      <w:tr>
        <w:trPr>
          <w:trHeight w:val="163"/>
        </w:trPr>
        <w:tc>
          <w:tcPr>
            <w:tcW w:w="26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color w:val="auto"/>
                <w:w w:val="96"/>
              </w:rPr>
              <w:t>5.500% Guaranteed Notes due 2040</w:t>
            </w:r>
          </w:p>
        </w:tc>
        <w:tc>
          <w:tcPr>
            <w:tcW w:w="1640" w:type="dxa"/>
            <w:vAlign w:val="bottom"/>
            <w:gridSpan w:val="2"/>
          </w:tcPr>
          <w:p>
            <w:pPr>
              <w:jc w:val="center"/>
              <w:ind w:left="654"/>
              <w:spacing w:after="0"/>
              <w:rPr>
                <w:sz w:val="20"/>
                <w:szCs w:val="20"/>
                <w:color w:val="auto"/>
              </w:rPr>
            </w:pPr>
            <w:r>
              <w:rPr>
                <w:rFonts w:ascii="Times New Roman" w:cs="Times New Roman" w:eastAsia="Times New Roman" w:hAnsi="Times New Roman"/>
                <w:sz w:val="14"/>
                <w:szCs w:val="14"/>
                <w:color w:val="auto"/>
                <w:w w:val="98"/>
              </w:rPr>
              <w:t>$802,108,000</w:t>
            </w:r>
          </w:p>
        </w:tc>
        <w:tc>
          <w:tcPr>
            <w:tcW w:w="3220" w:type="dxa"/>
            <w:vAlign w:val="bottom"/>
            <w:gridSpan w:val="3"/>
          </w:tcPr>
          <w:p>
            <w:pPr>
              <w:jc w:val="center"/>
              <w:ind w:left="1194"/>
              <w:spacing w:after="0"/>
              <w:rPr>
                <w:sz w:val="20"/>
                <w:szCs w:val="20"/>
                <w:color w:val="auto"/>
              </w:rPr>
            </w:pPr>
            <w:r>
              <w:rPr>
                <w:rFonts w:ascii="Times New Roman" w:cs="Times New Roman" w:eastAsia="Times New Roman" w:hAnsi="Times New Roman"/>
                <w:sz w:val="14"/>
                <w:szCs w:val="14"/>
                <w:color w:val="auto"/>
                <w:w w:val="96"/>
              </w:rPr>
              <w:t>5.500% Guaranteed Notes due 2040</w:t>
            </w:r>
          </w:p>
        </w:tc>
        <w:tc>
          <w:tcPr>
            <w:tcW w:w="0" w:type="dxa"/>
            <w:vAlign w:val="bottom"/>
          </w:tcPr>
          <w:p>
            <w:pPr>
              <w:spacing w:after="0"/>
              <w:rPr>
                <w:sz w:val="1"/>
                <w:szCs w:val="1"/>
                <w:color w:val="auto"/>
              </w:rPr>
            </w:pPr>
          </w:p>
        </w:tc>
      </w:tr>
      <w:tr>
        <w:trPr>
          <w:trHeight w:val="163"/>
        </w:trPr>
        <w:tc>
          <w:tcPr>
            <w:tcW w:w="26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color w:val="auto"/>
                <w:w w:val="96"/>
              </w:rPr>
              <w:t>5.125% Guaranteed Notes due 2041</w:t>
            </w:r>
          </w:p>
        </w:tc>
        <w:tc>
          <w:tcPr>
            <w:tcW w:w="1640" w:type="dxa"/>
            <w:vAlign w:val="bottom"/>
            <w:gridSpan w:val="2"/>
          </w:tcPr>
          <w:p>
            <w:pPr>
              <w:jc w:val="center"/>
              <w:ind w:left="654"/>
              <w:spacing w:after="0"/>
              <w:rPr>
                <w:sz w:val="20"/>
                <w:szCs w:val="20"/>
                <w:color w:val="auto"/>
              </w:rPr>
            </w:pPr>
            <w:r>
              <w:rPr>
                <w:rFonts w:ascii="Times New Roman" w:cs="Times New Roman" w:eastAsia="Times New Roman" w:hAnsi="Times New Roman"/>
                <w:sz w:val="14"/>
                <w:szCs w:val="14"/>
                <w:color w:val="auto"/>
                <w:w w:val="98"/>
              </w:rPr>
              <w:t>$691,199,000</w:t>
            </w:r>
          </w:p>
        </w:tc>
        <w:tc>
          <w:tcPr>
            <w:tcW w:w="3220" w:type="dxa"/>
            <w:vAlign w:val="bottom"/>
            <w:gridSpan w:val="3"/>
          </w:tcPr>
          <w:p>
            <w:pPr>
              <w:jc w:val="center"/>
              <w:ind w:left="1194"/>
              <w:spacing w:after="0"/>
              <w:rPr>
                <w:sz w:val="20"/>
                <w:szCs w:val="20"/>
                <w:color w:val="auto"/>
              </w:rPr>
            </w:pPr>
            <w:r>
              <w:rPr>
                <w:rFonts w:ascii="Times New Roman" w:cs="Times New Roman" w:eastAsia="Times New Roman" w:hAnsi="Times New Roman"/>
                <w:sz w:val="14"/>
                <w:szCs w:val="14"/>
                <w:color w:val="auto"/>
                <w:w w:val="96"/>
              </w:rPr>
              <w:t>5.125% Guaranteed Notes due 2041</w:t>
            </w:r>
          </w:p>
        </w:tc>
        <w:tc>
          <w:tcPr>
            <w:tcW w:w="0" w:type="dxa"/>
            <w:vAlign w:val="bottom"/>
          </w:tcPr>
          <w:p>
            <w:pPr>
              <w:spacing w:after="0"/>
              <w:rPr>
                <w:sz w:val="1"/>
                <w:szCs w:val="1"/>
                <w:color w:val="auto"/>
              </w:rPr>
            </w:pPr>
          </w:p>
        </w:tc>
      </w:tr>
      <w:tr>
        <w:trPr>
          <w:trHeight w:val="163"/>
        </w:trPr>
        <w:tc>
          <w:tcPr>
            <w:tcW w:w="26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color w:val="auto"/>
                <w:w w:val="96"/>
              </w:rPr>
              <w:t>3.125% Guaranteed Notes due 2049</w:t>
            </w:r>
          </w:p>
        </w:tc>
        <w:tc>
          <w:tcPr>
            <w:tcW w:w="1640" w:type="dxa"/>
            <w:vAlign w:val="bottom"/>
            <w:gridSpan w:val="2"/>
          </w:tcPr>
          <w:p>
            <w:pPr>
              <w:jc w:val="center"/>
              <w:ind w:left="654"/>
              <w:spacing w:after="0"/>
              <w:rPr>
                <w:sz w:val="20"/>
                <w:szCs w:val="20"/>
                <w:color w:val="auto"/>
              </w:rPr>
            </w:pPr>
            <w:r>
              <w:rPr>
                <w:rFonts w:ascii="Times New Roman" w:cs="Times New Roman" w:eastAsia="Times New Roman" w:hAnsi="Times New Roman"/>
                <w:sz w:val="14"/>
                <w:szCs w:val="14"/>
                <w:color w:val="auto"/>
                <w:w w:val="98"/>
              </w:rPr>
              <w:t>$993,714,000</w:t>
            </w:r>
          </w:p>
        </w:tc>
        <w:tc>
          <w:tcPr>
            <w:tcW w:w="3220" w:type="dxa"/>
            <w:vAlign w:val="bottom"/>
            <w:gridSpan w:val="3"/>
          </w:tcPr>
          <w:p>
            <w:pPr>
              <w:jc w:val="center"/>
              <w:ind w:left="1194"/>
              <w:spacing w:after="0"/>
              <w:rPr>
                <w:sz w:val="20"/>
                <w:szCs w:val="20"/>
                <w:color w:val="auto"/>
              </w:rPr>
            </w:pPr>
            <w:r>
              <w:rPr>
                <w:rFonts w:ascii="Times New Roman" w:cs="Times New Roman" w:eastAsia="Times New Roman" w:hAnsi="Times New Roman"/>
                <w:sz w:val="14"/>
                <w:szCs w:val="14"/>
                <w:color w:val="auto"/>
                <w:w w:val="96"/>
              </w:rPr>
              <w:t>3.125% Guaranteed Notes due 2049</w:t>
            </w:r>
          </w:p>
        </w:tc>
        <w:tc>
          <w:tcPr>
            <w:tcW w:w="0" w:type="dxa"/>
            <w:vAlign w:val="bottom"/>
          </w:tcPr>
          <w:p>
            <w:pPr>
              <w:spacing w:after="0"/>
              <w:rPr>
                <w:sz w:val="1"/>
                <w:szCs w:val="1"/>
                <w:color w:val="auto"/>
              </w:rPr>
            </w:pPr>
          </w:p>
        </w:tc>
      </w:tr>
      <w:tr>
        <w:trPr>
          <w:trHeight w:val="175"/>
        </w:trPr>
        <w:tc>
          <w:tcPr>
            <w:tcW w:w="26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color w:val="auto"/>
                <w:w w:val="96"/>
              </w:rPr>
              <w:t>3.000% Guaranteed Notes due 2051</w:t>
            </w:r>
          </w:p>
        </w:tc>
        <w:tc>
          <w:tcPr>
            <w:tcW w:w="1640" w:type="dxa"/>
            <w:vAlign w:val="bottom"/>
            <w:gridSpan w:val="2"/>
          </w:tcPr>
          <w:p>
            <w:pPr>
              <w:jc w:val="center"/>
              <w:ind w:left="654"/>
              <w:spacing w:after="0"/>
              <w:rPr>
                <w:sz w:val="20"/>
                <w:szCs w:val="20"/>
                <w:color w:val="auto"/>
              </w:rPr>
            </w:pPr>
            <w:r>
              <w:rPr>
                <w:rFonts w:ascii="Times New Roman" w:cs="Times New Roman" w:eastAsia="Times New Roman" w:hAnsi="Times New Roman"/>
                <w:sz w:val="14"/>
                <w:szCs w:val="14"/>
                <w:color w:val="auto"/>
                <w:w w:val="98"/>
              </w:rPr>
              <w:t>$876,828,000</w:t>
            </w:r>
          </w:p>
        </w:tc>
        <w:tc>
          <w:tcPr>
            <w:tcW w:w="3220" w:type="dxa"/>
            <w:vAlign w:val="bottom"/>
            <w:gridSpan w:val="3"/>
          </w:tcPr>
          <w:p>
            <w:pPr>
              <w:jc w:val="center"/>
              <w:ind w:left="1194"/>
              <w:spacing w:after="0"/>
              <w:rPr>
                <w:sz w:val="20"/>
                <w:szCs w:val="20"/>
                <w:color w:val="auto"/>
              </w:rPr>
            </w:pPr>
            <w:r>
              <w:rPr>
                <w:rFonts w:ascii="Times New Roman" w:cs="Times New Roman" w:eastAsia="Times New Roman" w:hAnsi="Times New Roman"/>
                <w:sz w:val="14"/>
                <w:szCs w:val="14"/>
                <w:color w:val="auto"/>
                <w:w w:val="96"/>
              </w:rPr>
              <w:t>3.000% Guaranteed Notes due 2051</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left="340" w:right="359"/>
        <w:spacing w:after="0" w:line="248" w:lineRule="auto"/>
        <w:rPr>
          <w:sz w:val="20"/>
          <w:szCs w:val="20"/>
          <w:color w:val="auto"/>
        </w:rPr>
      </w:pPr>
      <w:r>
        <w:rPr>
          <w:rFonts w:ascii="Times New Roman" w:cs="Times New Roman" w:eastAsia="Times New Roman" w:hAnsi="Times New Roman"/>
          <w:sz w:val="14"/>
          <w:szCs w:val="14"/>
          <w:color w:val="auto"/>
        </w:rPr>
        <w:t>The terms of the Exchange Notes to be issued in the Exchange Offers are substantially identical to the terms of the corresponding series of Restricted Notes, except that the Exchange Notes will be registered under the Securities Act and the transfer restrictions, registration rights and additional interest provisions applicable to the Restricted Notes will not apply to the Exchange Notes. In addition, each series of Exchange Notes will bear different CUSIP and ISIN numbers than the corresponding series of Restricted Notes. The Exchange Notes will represent the same debt as the Restricted Notes, and Shell Finance US will issue the Exchange Notes under the same indenture that governs the Restricted Notes.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Enclosed herewith are copies of the following documents:</w:t>
      </w:r>
    </w:p>
    <w:p>
      <w:pPr>
        <w:spacing w:after="0" w:line="186" w:lineRule="exact"/>
        <w:rPr>
          <w:sz w:val="20"/>
          <w:szCs w:val="20"/>
          <w:color w:val="auto"/>
        </w:rPr>
      </w:pPr>
    </w:p>
    <w:p>
      <w:pPr>
        <w:ind w:left="1160" w:hanging="237"/>
        <w:spacing w:after="0"/>
        <w:tabs>
          <w:tab w:leader="none" w:pos="1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Prospectus; and</w:t>
      </w:r>
    </w:p>
    <w:p>
      <w:pPr>
        <w:spacing w:after="0" w:line="14" w:lineRule="exact"/>
        <w:rPr>
          <w:rFonts w:ascii="Times New Roman" w:cs="Times New Roman" w:eastAsia="Times New Roman" w:hAnsi="Times New Roman"/>
          <w:sz w:val="14"/>
          <w:szCs w:val="14"/>
          <w:color w:val="auto"/>
        </w:rPr>
      </w:pPr>
    </w:p>
    <w:p>
      <w:pPr>
        <w:ind w:left="1160" w:right="359" w:hanging="237"/>
        <w:spacing w:after="0" w:line="246" w:lineRule="auto"/>
        <w:tabs>
          <w:tab w:leader="none" w:pos="1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Letter which may be sent to your clients for whose account you hold Restricted Notes in your name or in the name of your nominee, with space provided for obtaining such client’s instruction with regard to the Exchange Offers.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We urge you to contact your clients promptly. Please note that the Exchange Offers will expire on the Expiration Date unless extended.</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Exchange Offers are not conditioned upon any minimum number of Restricted Notes being tendered.</w:t>
      </w:r>
    </w:p>
    <w:p>
      <w:pPr>
        <w:spacing w:after="0" w:line="166" w:lineRule="exact"/>
        <w:rPr>
          <w:sz w:val="20"/>
          <w:szCs w:val="20"/>
          <w:color w:val="auto"/>
        </w:rPr>
      </w:pPr>
    </w:p>
    <w:p>
      <w:pPr>
        <w:ind w:left="340" w:right="359"/>
        <w:spacing w:after="0" w:line="264" w:lineRule="auto"/>
        <w:rPr>
          <w:sz w:val="20"/>
          <w:szCs w:val="20"/>
          <w:color w:val="auto"/>
        </w:rPr>
      </w:pPr>
      <w:r>
        <w:rPr>
          <w:rFonts w:ascii="Times New Roman" w:cs="Times New Roman" w:eastAsia="Times New Roman" w:hAnsi="Times New Roman"/>
          <w:sz w:val="14"/>
          <w:szCs w:val="14"/>
          <w:color w:val="auto"/>
        </w:rPr>
        <w:t>The Company will not pay any fee or commissions to any broker or dealer or to any other persons (other than the exchange agent) in connection with the solicitation of tenders of Restricted Notes pursuant to the Exchange Offers.</w:t>
      </w:r>
    </w:p>
    <w:p>
      <w:pPr>
        <w:sectPr>
          <w:pgSz w:w="11900" w:h="16838" w:orient="portrait"/>
          <w:cols w:equalWidth="0" w:num="1">
            <w:col w:w="9019"/>
          </w:cols>
          <w:pgMar w:left="1440" w:top="237" w:right="1440" w:bottom="1440" w:gutter="0" w:footer="0" w:header="0"/>
        </w:sectPr>
      </w:pPr>
    </w:p>
    <w:bookmarkStart w:id="141" w:name="page142"/>
    <w:bookmarkEnd w:id="141"/>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7204075" cy="31750"/>
                    </a:xfrm>
                    <a:prstGeom prst="rect">
                      <a:avLst/>
                    </a:prstGeom>
                    <a:noFill/>
                  </pic:spPr>
                </pic:pic>
              </a:graphicData>
            </a:graphic>
          </wp:anchor>
        </w:drawing>
        <w:t>You will not be obligated to pay any transfer taxes in connection with the tender of Restricted Notes to us in the Exchange Offers.</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Additional copies of the enclosed material may be obtained from the exchange agent at its address set forth on the back cover of the Prospectus.</w:t>
      </w:r>
    </w:p>
    <w:p>
      <w:pPr>
        <w:sectPr>
          <w:pgSz w:w="11900" w:h="16838" w:orient="portrait"/>
          <w:cols w:equalWidth="0" w:num="1">
            <w:col w:w="9019"/>
          </w:cols>
          <w:pgMar w:left="1440" w:top="239" w:right="1440" w:bottom="1440" w:gutter="0" w:footer="0" w:header="0"/>
        </w:sectPr>
      </w:pPr>
    </w:p>
    <w:bookmarkStart w:id="142" w:name="page143"/>
    <w:bookmarkEnd w:id="142"/>
    <w:p>
      <w:pPr>
        <w:ind w:left="3560"/>
        <w:spacing w:after="0"/>
        <w:rPr>
          <w:sz w:val="20"/>
          <w:szCs w:val="20"/>
          <w:color w:val="auto"/>
        </w:rPr>
      </w:pPr>
      <w:r>
        <w:rPr>
          <w:rFonts w:ascii="Arial" w:cs="Arial" w:eastAsia="Arial" w:hAnsi="Arial"/>
          <w:sz w:val="27"/>
          <w:szCs w:val="27"/>
          <w:b w:val="1"/>
          <w:bCs w:val="1"/>
          <w:color w:val="auto"/>
        </w:rPr>
        <w:t>Calculation of Filing Fee Tables</w:t>
      </w:r>
    </w:p>
    <w:p>
      <w:pPr>
        <w:spacing w:after="0" w:line="169"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F-4</w:t>
      </w:r>
    </w:p>
    <w:p>
      <w:pPr>
        <w:spacing w:after="0" w:line="98"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Shell Finance US Inc.</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4380" w:type="dxa"/>
            <w:vAlign w:val="bottom"/>
            <w:tcBorders>
              <w:bottom w:val="single" w:sz="8" w:color="auto"/>
            </w:tcBorders>
            <w:gridSpan w:val="14"/>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ind w:left="2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9ADAF6"/>
          </w:tcPr>
          <w:p>
            <w:pPr>
              <w:jc w:val="center"/>
              <w:ind w:left="38"/>
              <w:spacing w:after="0"/>
              <w:rPr>
                <w:sz w:val="20"/>
                <w:szCs w:val="20"/>
                <w:color w:val="auto"/>
              </w:rPr>
            </w:pPr>
            <w:r>
              <w:rPr>
                <w:rFonts w:ascii="Arial" w:cs="Arial" w:eastAsia="Arial" w:hAnsi="Arial"/>
                <w:sz w:val="16"/>
                <w:szCs w:val="16"/>
                <w:b w:val="1"/>
                <w:bCs w:val="1"/>
                <w:color w:val="auto"/>
              </w:rPr>
              <w:t>Fee</w:t>
            </w: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7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4"/>
                <w:szCs w:val="14"/>
                <w:color w:val="auto"/>
              </w:rPr>
            </w:pPr>
          </w:p>
        </w:tc>
        <w:tc>
          <w:tcPr>
            <w:tcW w:w="880" w:type="dxa"/>
            <w:vAlign w:val="bottom"/>
            <w:vMerge w:val="restart"/>
            <w:shd w:val="clear" w:color="auto" w:fill="9ADAF6"/>
          </w:tcPr>
          <w:p>
            <w:pPr>
              <w:ind w:left="12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4"/>
                <w:szCs w:val="14"/>
                <w:color w:val="auto"/>
              </w:rPr>
            </w:pPr>
          </w:p>
        </w:tc>
        <w:tc>
          <w:tcPr>
            <w:tcW w:w="920" w:type="dxa"/>
            <w:vAlign w:val="bottom"/>
            <w:gridSpan w:val="2"/>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14"/>
                <w:szCs w:val="14"/>
                <w:color w:val="auto"/>
              </w:rPr>
            </w:pPr>
          </w:p>
        </w:tc>
        <w:tc>
          <w:tcPr>
            <w:tcW w:w="860" w:type="dxa"/>
            <w:vAlign w:val="bottom"/>
            <w:vMerge w:val="restart"/>
            <w:shd w:val="clear" w:color="auto" w:fill="9ADAF6"/>
          </w:tcPr>
          <w:p>
            <w:pPr>
              <w:jc w:val="right"/>
              <w:ind w:right="38"/>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4"/>
                <w:szCs w:val="14"/>
                <w:color w:val="auto"/>
              </w:rPr>
            </w:pPr>
          </w:p>
        </w:tc>
        <w:tc>
          <w:tcPr>
            <w:tcW w:w="130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94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restart"/>
            <w:shd w:val="clear" w:color="auto" w:fill="9ADAF6"/>
          </w:tcPr>
          <w:p>
            <w:pPr>
              <w:jc w:val="center"/>
              <w:ind w:left="38"/>
              <w:spacing w:after="0"/>
              <w:rPr>
                <w:sz w:val="20"/>
                <w:szCs w:val="20"/>
                <w:color w:val="auto"/>
              </w:rPr>
            </w:pPr>
            <w:r>
              <w:rPr>
                <w:rFonts w:ascii="Arial" w:cs="Arial" w:eastAsia="Arial" w:hAnsi="Arial"/>
                <w:sz w:val="16"/>
                <w:szCs w:val="16"/>
                <w:b w:val="1"/>
                <w:bCs w:val="1"/>
                <w:color w:val="auto"/>
              </w:rPr>
              <w:t>or Carry</w:t>
            </w: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9"/>
                <w:szCs w:val="9"/>
                <w:color w:val="auto"/>
              </w:rPr>
            </w:pPr>
          </w:p>
        </w:tc>
        <w:tc>
          <w:tcPr>
            <w:tcW w:w="13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9"/>
                <w:szCs w:val="9"/>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9"/>
                <w:szCs w:val="9"/>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Forward</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Forward</w:t>
            </w:r>
          </w:p>
        </w:tc>
        <w:tc>
          <w:tcPr>
            <w:tcW w:w="20" w:type="dxa"/>
            <w:vAlign w:val="bottom"/>
          </w:tcPr>
          <w:p>
            <w:pPr>
              <w:spacing w:after="0"/>
              <w:rPr>
                <w:sz w:val="9"/>
                <w:szCs w:val="9"/>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with</w:t>
            </w: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160"/>
              <w:spacing w:after="0" w:line="164"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4"/>
                <w:szCs w:val="14"/>
                <w:color w:val="auto"/>
              </w:rPr>
            </w:pPr>
          </w:p>
        </w:tc>
        <w:tc>
          <w:tcPr>
            <w:tcW w:w="880" w:type="dxa"/>
            <w:vAlign w:val="bottom"/>
            <w:shd w:val="clear" w:color="auto" w:fill="9ADAF6"/>
          </w:tcPr>
          <w:p>
            <w:pPr>
              <w:ind w:left="40"/>
              <w:spacing w:after="0" w:line="164" w:lineRule="exact"/>
              <w:rPr>
                <w:sz w:val="20"/>
                <w:szCs w:val="20"/>
                <w:color w:val="auto"/>
              </w:rPr>
            </w:pPr>
            <w:r>
              <w:rPr>
                <w:rFonts w:ascii="Arial" w:cs="Arial" w:eastAsia="Arial" w:hAnsi="Arial"/>
                <w:sz w:val="16"/>
                <w:szCs w:val="16"/>
                <w:b w:val="1"/>
                <w:bCs w:val="1"/>
                <w:color w:val="auto"/>
              </w:rPr>
              <w:t>Class Title</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right"/>
              <w:spacing w:after="0" w:line="164" w:lineRule="exact"/>
              <w:rPr>
                <w:sz w:val="20"/>
                <w:szCs w:val="20"/>
                <w:color w:val="auto"/>
              </w:rPr>
            </w:pPr>
            <w:r>
              <w:rPr>
                <w:rFonts w:ascii="Arial" w:cs="Arial" w:eastAsia="Arial" w:hAnsi="Arial"/>
                <w:sz w:val="16"/>
                <w:szCs w:val="16"/>
                <w:b w:val="1"/>
                <w:bCs w:val="1"/>
                <w:color w:val="auto"/>
                <w:w w:val="99"/>
              </w:rPr>
              <w:t>Registered</w:t>
            </w: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jc w:val="center"/>
              <w:ind w:left="38"/>
              <w:spacing w:after="0"/>
              <w:rPr>
                <w:sz w:val="20"/>
                <w:szCs w:val="20"/>
                <w:color w:val="auto"/>
              </w:rPr>
            </w:pPr>
            <w:r>
              <w:rPr>
                <w:rFonts w:ascii="Arial" w:cs="Arial" w:eastAsia="Arial" w:hAnsi="Arial"/>
                <w:sz w:val="16"/>
                <w:szCs w:val="16"/>
                <w:b w:val="1"/>
                <w:bCs w:val="1"/>
                <w:color w:val="auto"/>
              </w:rPr>
              <w:t>Forward</w:t>
            </w: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5"/>
                <w:szCs w:val="15"/>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204"/>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jc w:val="center"/>
              <w:ind w:left="38"/>
              <w:spacing w:after="0"/>
              <w:rPr>
                <w:sz w:val="20"/>
                <w:szCs w:val="20"/>
                <w:color w:val="auto"/>
              </w:rPr>
            </w:pPr>
            <w:r>
              <w:rPr>
                <w:rFonts w:ascii="Arial" w:cs="Arial" w:eastAsia="Arial" w:hAnsi="Arial"/>
                <w:sz w:val="16"/>
                <w:szCs w:val="16"/>
                <w:b w:val="1"/>
                <w:bCs w:val="1"/>
                <w:color w:val="auto"/>
              </w:rPr>
              <w:t>Rule</w:t>
            </w: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17"/>
                <w:szCs w:val="17"/>
                <w:color w:val="auto"/>
              </w:rPr>
            </w:pPr>
          </w:p>
        </w:tc>
        <w:tc>
          <w:tcPr>
            <w:tcW w:w="1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Carried</w:t>
            </w: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gridSpan w:val="5"/>
          </w:tcPr>
          <w:p>
            <w:pPr>
              <w:jc w:val="center"/>
              <w:ind w:right="198"/>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20"/>
                <w:szCs w:val="20"/>
                <w:color w:val="auto"/>
              </w:rPr>
            </w:pPr>
            <w:r>
              <w:rPr>
                <w:rFonts w:ascii="Arial" w:cs="Arial" w:eastAsia="Arial" w:hAnsi="Arial"/>
                <w:sz w:val="16"/>
                <w:szCs w:val="16"/>
                <w:color w:val="auto"/>
              </w:rPr>
              <w:t>3.875%</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20"/>
                <w:szCs w:val="20"/>
                <w:color w:val="auto"/>
              </w:rPr>
            </w:pPr>
            <w:r>
              <w:rPr>
                <w:rFonts w:ascii="Arial" w:cs="Arial" w:eastAsia="Arial" w:hAnsi="Arial"/>
                <w:sz w:val="16"/>
                <w:szCs w:val="16"/>
                <w:color w:val="auto"/>
              </w:rPr>
              <w:t>Guaranteed</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ind w:left="38"/>
              <w:spacing w:after="0"/>
              <w:rPr>
                <w:sz w:val="20"/>
                <w:szCs w:val="20"/>
                <w:color w:val="auto"/>
              </w:rPr>
            </w:pPr>
            <w:r>
              <w:rPr>
                <w:rFonts w:ascii="Arial" w:cs="Arial" w:eastAsia="Arial" w:hAnsi="Arial"/>
                <w:sz w:val="16"/>
                <w:szCs w:val="16"/>
                <w:color w:val="auto"/>
              </w:rPr>
              <w:t>457(o)</w:t>
            </w: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$ 920,732,000.00</w:t>
            </w:r>
          </w:p>
        </w:tc>
        <w:tc>
          <w:tcPr>
            <w:tcW w:w="20" w:type="dxa"/>
            <w:vAlign w:val="bottom"/>
          </w:tcPr>
          <w:p>
            <w:pPr>
              <w:spacing w:after="0"/>
              <w:rPr>
                <w:sz w:val="15"/>
                <w:szCs w:val="15"/>
                <w:color w:val="auto"/>
              </w:rPr>
            </w:pPr>
          </w:p>
        </w:tc>
        <w:tc>
          <w:tcPr>
            <w:tcW w:w="7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$ 127,153.09</w:t>
            </w: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Notes due</w:t>
            </w: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 w:type="dxa"/>
            <w:vAlign w:val="bottom"/>
            <w:tcBorders>
              <w:left w:val="single" w:sz="8" w:color="auto"/>
            </w:tcBorders>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20"/>
                <w:szCs w:val="20"/>
                <w:color w:val="auto"/>
              </w:rPr>
            </w:pPr>
            <w:r>
              <w:rPr>
                <w:rFonts w:ascii="Arial" w:cs="Arial" w:eastAsia="Arial" w:hAnsi="Arial"/>
                <w:sz w:val="16"/>
                <w:szCs w:val="16"/>
                <w:color w:val="auto"/>
              </w:rPr>
              <w:t>2028</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88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6.375%</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0" w:type="dxa"/>
            <w:vAlign w:val="bottom"/>
            <w:tcBorders>
              <w:left w:val="single" w:sz="8" w:color="auto"/>
            </w:tcBorders>
          </w:tcPr>
          <w:p>
            <w:pPr>
              <w:spacing w:after="0"/>
              <w:rPr>
                <w:sz w:val="22"/>
                <w:szCs w:val="22"/>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22"/>
                <w:szCs w:val="22"/>
                <w:color w:val="auto"/>
              </w:rPr>
            </w:pPr>
          </w:p>
        </w:tc>
        <w:tc>
          <w:tcPr>
            <w:tcW w:w="120" w:type="dxa"/>
            <w:vAlign w:val="bottom"/>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22"/>
                <w:szCs w:val="22"/>
                <w:color w:val="auto"/>
              </w:rPr>
            </w:pPr>
          </w:p>
        </w:tc>
        <w:tc>
          <w:tcPr>
            <w:tcW w:w="680" w:type="dxa"/>
            <w:vAlign w:val="bottom"/>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22"/>
                <w:szCs w:val="22"/>
                <w:color w:val="auto"/>
              </w:rPr>
            </w:pPr>
          </w:p>
        </w:tc>
        <w:tc>
          <w:tcPr>
            <w:tcW w:w="880" w:type="dxa"/>
            <w:vAlign w:val="bottom"/>
            <w:shd w:val="clear" w:color="auto" w:fill="E7E7E2"/>
          </w:tcPr>
          <w:p>
            <w:pPr>
              <w:spacing w:after="0"/>
              <w:rPr>
                <w:sz w:val="20"/>
                <w:szCs w:val="20"/>
                <w:color w:val="auto"/>
              </w:rPr>
            </w:pPr>
            <w:r>
              <w:rPr>
                <w:rFonts w:ascii="Arial" w:cs="Arial" w:eastAsia="Arial" w:hAnsi="Arial"/>
                <w:sz w:val="16"/>
                <w:szCs w:val="16"/>
                <w:color w:val="auto"/>
              </w:rPr>
              <w:t>Guaranteed</w:t>
            </w:r>
          </w:p>
        </w:tc>
        <w:tc>
          <w:tcPr>
            <w:tcW w:w="20" w:type="dxa"/>
            <w:vAlign w:val="bottom"/>
          </w:tcPr>
          <w:p>
            <w:pPr>
              <w:spacing w:after="0"/>
              <w:rPr>
                <w:sz w:val="22"/>
                <w:szCs w:val="22"/>
                <w:color w:val="auto"/>
              </w:rPr>
            </w:pPr>
          </w:p>
        </w:tc>
        <w:tc>
          <w:tcPr>
            <w:tcW w:w="800" w:type="dxa"/>
            <w:vAlign w:val="bottom"/>
            <w:shd w:val="clear" w:color="auto" w:fill="E7E7E2"/>
          </w:tcPr>
          <w:p>
            <w:pPr>
              <w:jc w:val="center"/>
              <w:ind w:left="38"/>
              <w:spacing w:after="0"/>
              <w:rPr>
                <w:sz w:val="20"/>
                <w:szCs w:val="20"/>
                <w:color w:val="auto"/>
              </w:rPr>
            </w:pPr>
            <w:r>
              <w:rPr>
                <w:rFonts w:ascii="Arial" w:cs="Arial" w:eastAsia="Arial" w:hAnsi="Arial"/>
                <w:sz w:val="16"/>
                <w:szCs w:val="16"/>
                <w:color w:val="auto"/>
              </w:rPr>
              <w:t>457(o)</w:t>
            </w:r>
          </w:p>
        </w:tc>
        <w:tc>
          <w:tcPr>
            <w:tcW w:w="12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78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22"/>
                <w:szCs w:val="22"/>
                <w:color w:val="auto"/>
              </w:rPr>
            </w:pPr>
          </w:p>
        </w:tc>
        <w:tc>
          <w:tcPr>
            <w:tcW w:w="980" w:type="dxa"/>
            <w:vAlign w:val="bottom"/>
            <w:shd w:val="clear" w:color="auto" w:fill="E7E7E2"/>
          </w:tcPr>
          <w:p>
            <w:pPr>
              <w:jc w:val="right"/>
              <w:spacing w:after="0"/>
              <w:rPr>
                <w:sz w:val="20"/>
                <w:szCs w:val="20"/>
                <w:color w:val="auto"/>
              </w:rPr>
            </w:pPr>
            <w:r>
              <w:rPr>
                <w:rFonts w:ascii="Arial" w:cs="Arial" w:eastAsia="Arial" w:hAnsi="Arial"/>
                <w:sz w:val="16"/>
                <w:szCs w:val="16"/>
                <w:color w:val="auto"/>
              </w:rPr>
              <w:t>$ 284,920.74</w:t>
            </w:r>
          </w:p>
        </w:tc>
        <w:tc>
          <w:tcPr>
            <w:tcW w:w="20" w:type="dxa"/>
            <w:vAlign w:val="bottom"/>
          </w:tcPr>
          <w:p>
            <w:pPr>
              <w:spacing w:after="0"/>
              <w:rPr>
                <w:sz w:val="22"/>
                <w:szCs w:val="22"/>
                <w:color w:val="auto"/>
              </w:rPr>
            </w:pPr>
          </w:p>
        </w:tc>
        <w:tc>
          <w:tcPr>
            <w:tcW w:w="68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Borders>
              <w:right w:val="single" w:sz="8" w:color="auto"/>
            </w:tcBorders>
            <w:shd w:val="clear" w:color="auto" w:fill="E7E7E2"/>
          </w:tcPr>
          <w:p>
            <w:pPr>
              <w:spacing w:after="0"/>
              <w:rPr>
                <w:sz w:val="22"/>
                <w:szCs w:val="22"/>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E7E7E2"/>
          </w:tcPr>
          <w:p>
            <w:pPr>
              <w:spacing w:after="0" w:line="112" w:lineRule="exact"/>
              <w:rPr>
                <w:sz w:val="20"/>
                <w:szCs w:val="20"/>
                <w:color w:val="auto"/>
              </w:rPr>
            </w:pPr>
            <w:r>
              <w:rPr>
                <w:rFonts w:ascii="Arial" w:cs="Arial" w:eastAsia="Arial" w:hAnsi="Arial"/>
                <w:sz w:val="12"/>
                <w:szCs w:val="12"/>
                <w:color w:val="auto"/>
              </w:rPr>
              <w:t>be Paid</w:t>
            </w: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line="112" w:lineRule="exact"/>
              <w:rPr>
                <w:sz w:val="20"/>
                <w:szCs w:val="20"/>
                <w:color w:val="auto"/>
              </w:rPr>
            </w:pPr>
            <w:r>
              <w:rPr>
                <w:rFonts w:ascii="Arial" w:cs="Arial" w:eastAsia="Arial" w:hAnsi="Arial"/>
                <w:sz w:val="12"/>
                <w:szCs w:val="12"/>
                <w:color w:val="auto"/>
              </w:rPr>
              <w:t>Notes due</w:t>
            </w: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shd w:val="clear" w:color="auto" w:fill="E7E7E2"/>
          </w:tcPr>
          <w:p>
            <w:pPr>
              <w:jc w:val="right"/>
              <w:spacing w:after="0" w:line="112" w:lineRule="exact"/>
              <w:rPr>
                <w:sz w:val="20"/>
                <w:szCs w:val="20"/>
                <w:color w:val="auto"/>
              </w:rPr>
            </w:pPr>
            <w:r>
              <w:rPr>
                <w:rFonts w:ascii="Arial" w:cs="Arial" w:eastAsia="Arial" w:hAnsi="Arial"/>
                <w:sz w:val="12"/>
                <w:szCs w:val="12"/>
                <w:color w:val="auto"/>
              </w:rPr>
              <w:t>2,063,148,000.00</w:t>
            </w: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20"/>
                <w:szCs w:val="20"/>
                <w:color w:val="auto"/>
              </w:rPr>
            </w:pPr>
            <w:r>
              <w:rPr>
                <w:rFonts w:ascii="Arial" w:cs="Arial" w:eastAsia="Arial" w:hAnsi="Arial"/>
                <w:sz w:val="16"/>
                <w:szCs w:val="16"/>
                <w:color w:val="auto"/>
              </w:rPr>
              <w:t>2038</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88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5.500%</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3</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20"/>
                <w:szCs w:val="20"/>
                <w:color w:val="auto"/>
              </w:rPr>
            </w:pPr>
            <w:r>
              <w:rPr>
                <w:rFonts w:ascii="Arial" w:cs="Arial" w:eastAsia="Arial" w:hAnsi="Arial"/>
                <w:sz w:val="16"/>
                <w:szCs w:val="16"/>
                <w:color w:val="auto"/>
              </w:rPr>
              <w:t>Guaranteed</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ind w:left="38"/>
              <w:spacing w:after="0"/>
              <w:rPr>
                <w:sz w:val="20"/>
                <w:szCs w:val="20"/>
                <w:color w:val="auto"/>
              </w:rPr>
            </w:pPr>
            <w:r>
              <w:rPr>
                <w:rFonts w:ascii="Arial" w:cs="Arial" w:eastAsia="Arial" w:hAnsi="Arial"/>
                <w:sz w:val="16"/>
                <w:szCs w:val="16"/>
                <w:color w:val="auto"/>
              </w:rPr>
              <w:t>457(o)</w:t>
            </w: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$ 802,108,000.00</w:t>
            </w:r>
          </w:p>
        </w:tc>
        <w:tc>
          <w:tcPr>
            <w:tcW w:w="20" w:type="dxa"/>
            <w:vAlign w:val="bottom"/>
          </w:tcPr>
          <w:p>
            <w:pPr>
              <w:spacing w:after="0"/>
              <w:rPr>
                <w:sz w:val="15"/>
                <w:szCs w:val="15"/>
                <w:color w:val="auto"/>
              </w:rPr>
            </w:pPr>
          </w:p>
        </w:tc>
        <w:tc>
          <w:tcPr>
            <w:tcW w:w="7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$ 110,771.11</w:t>
            </w: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Notes due</w:t>
            </w: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 w:type="dxa"/>
            <w:vAlign w:val="bottom"/>
            <w:tcBorders>
              <w:left w:val="single" w:sz="8" w:color="auto"/>
            </w:tcBorders>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20"/>
                <w:szCs w:val="20"/>
                <w:color w:val="auto"/>
              </w:rPr>
            </w:pPr>
            <w:r>
              <w:rPr>
                <w:rFonts w:ascii="Arial" w:cs="Arial" w:eastAsia="Arial" w:hAnsi="Arial"/>
                <w:sz w:val="16"/>
                <w:szCs w:val="16"/>
                <w:color w:val="auto"/>
              </w:rPr>
              <w:t>2040</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88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5.125%</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4</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20"/>
                <w:szCs w:val="20"/>
                <w:color w:val="auto"/>
              </w:rPr>
            </w:pPr>
            <w:r>
              <w:rPr>
                <w:rFonts w:ascii="Arial" w:cs="Arial" w:eastAsia="Arial" w:hAnsi="Arial"/>
                <w:sz w:val="16"/>
                <w:szCs w:val="16"/>
                <w:color w:val="auto"/>
              </w:rPr>
              <w:t>Guaranteed</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ind w:left="38"/>
              <w:spacing w:after="0"/>
              <w:rPr>
                <w:sz w:val="20"/>
                <w:szCs w:val="20"/>
                <w:color w:val="auto"/>
              </w:rPr>
            </w:pPr>
            <w:r>
              <w:rPr>
                <w:rFonts w:ascii="Arial" w:cs="Arial" w:eastAsia="Arial" w:hAnsi="Arial"/>
                <w:sz w:val="16"/>
                <w:szCs w:val="16"/>
                <w:color w:val="auto"/>
              </w:rPr>
              <w:t>457(o)</w:t>
            </w: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$ 691,199,000.00</w:t>
            </w:r>
          </w:p>
        </w:tc>
        <w:tc>
          <w:tcPr>
            <w:tcW w:w="20" w:type="dxa"/>
            <w:vAlign w:val="bottom"/>
          </w:tcPr>
          <w:p>
            <w:pPr>
              <w:spacing w:after="0"/>
              <w:rPr>
                <w:sz w:val="15"/>
                <w:szCs w:val="15"/>
                <w:color w:val="auto"/>
              </w:rPr>
            </w:pPr>
          </w:p>
        </w:tc>
        <w:tc>
          <w:tcPr>
            <w:tcW w:w="7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$ 95,454.58</w:t>
            </w: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Notes due</w:t>
            </w: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 w:type="dxa"/>
            <w:vAlign w:val="bottom"/>
            <w:tcBorders>
              <w:left w:val="single" w:sz="8" w:color="auto"/>
            </w:tcBorders>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20"/>
                <w:szCs w:val="20"/>
                <w:color w:val="auto"/>
              </w:rPr>
            </w:pPr>
            <w:r>
              <w:rPr>
                <w:rFonts w:ascii="Arial" w:cs="Arial" w:eastAsia="Arial" w:hAnsi="Arial"/>
                <w:sz w:val="16"/>
                <w:szCs w:val="16"/>
                <w:color w:val="auto"/>
              </w:rPr>
              <w:t>2041</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88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3.125%</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20"/>
                <w:szCs w:val="20"/>
                <w:color w:val="auto"/>
              </w:rPr>
            </w:pPr>
            <w:r>
              <w:rPr>
                <w:rFonts w:ascii="Arial" w:cs="Arial" w:eastAsia="Arial" w:hAnsi="Arial"/>
                <w:sz w:val="16"/>
                <w:szCs w:val="16"/>
                <w:color w:val="auto"/>
              </w:rPr>
              <w:t>Guaranteed</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ind w:left="38"/>
              <w:spacing w:after="0"/>
              <w:rPr>
                <w:sz w:val="20"/>
                <w:szCs w:val="20"/>
                <w:color w:val="auto"/>
              </w:rPr>
            </w:pPr>
            <w:r>
              <w:rPr>
                <w:rFonts w:ascii="Arial" w:cs="Arial" w:eastAsia="Arial" w:hAnsi="Arial"/>
                <w:sz w:val="16"/>
                <w:szCs w:val="16"/>
                <w:color w:val="auto"/>
              </w:rPr>
              <w:t>457(o)</w:t>
            </w: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$ 993,714,000.00</w:t>
            </w:r>
          </w:p>
        </w:tc>
        <w:tc>
          <w:tcPr>
            <w:tcW w:w="20" w:type="dxa"/>
            <w:vAlign w:val="bottom"/>
          </w:tcPr>
          <w:p>
            <w:pPr>
              <w:spacing w:after="0"/>
              <w:rPr>
                <w:sz w:val="15"/>
                <w:szCs w:val="15"/>
                <w:color w:val="auto"/>
              </w:rPr>
            </w:pPr>
          </w:p>
        </w:tc>
        <w:tc>
          <w:tcPr>
            <w:tcW w:w="7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$ 137,231.90</w:t>
            </w: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Notes due</w:t>
            </w: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 w:type="dxa"/>
            <w:vAlign w:val="bottom"/>
            <w:tcBorders>
              <w:left w:val="single" w:sz="8" w:color="auto"/>
            </w:tcBorders>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20"/>
                <w:szCs w:val="20"/>
                <w:color w:val="auto"/>
              </w:rPr>
            </w:pPr>
            <w:r>
              <w:rPr>
                <w:rFonts w:ascii="Arial" w:cs="Arial" w:eastAsia="Arial" w:hAnsi="Arial"/>
                <w:sz w:val="16"/>
                <w:szCs w:val="16"/>
                <w:color w:val="auto"/>
              </w:rPr>
              <w:t>2049</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88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3.000%</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6</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20"/>
                <w:szCs w:val="20"/>
                <w:color w:val="auto"/>
              </w:rPr>
            </w:pPr>
            <w:r>
              <w:rPr>
                <w:rFonts w:ascii="Arial" w:cs="Arial" w:eastAsia="Arial" w:hAnsi="Arial"/>
                <w:sz w:val="16"/>
                <w:szCs w:val="16"/>
                <w:color w:val="auto"/>
              </w:rPr>
              <w:t>Guaranteed</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ind w:left="38"/>
              <w:spacing w:after="0"/>
              <w:rPr>
                <w:sz w:val="20"/>
                <w:szCs w:val="20"/>
                <w:color w:val="auto"/>
              </w:rPr>
            </w:pPr>
            <w:r>
              <w:rPr>
                <w:rFonts w:ascii="Arial" w:cs="Arial" w:eastAsia="Arial" w:hAnsi="Arial"/>
                <w:sz w:val="16"/>
                <w:szCs w:val="16"/>
                <w:color w:val="auto"/>
              </w:rPr>
              <w:t>457(o)</w:t>
            </w: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$ 876,828,000.00</w:t>
            </w:r>
          </w:p>
        </w:tc>
        <w:tc>
          <w:tcPr>
            <w:tcW w:w="20" w:type="dxa"/>
            <w:vAlign w:val="bottom"/>
          </w:tcPr>
          <w:p>
            <w:pPr>
              <w:spacing w:after="0"/>
              <w:rPr>
                <w:sz w:val="15"/>
                <w:szCs w:val="15"/>
                <w:color w:val="auto"/>
              </w:rPr>
            </w:pPr>
          </w:p>
        </w:tc>
        <w:tc>
          <w:tcPr>
            <w:tcW w:w="7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$ 121,089.95</w:t>
            </w: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Notes due</w:t>
            </w: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 w:type="dxa"/>
            <w:vAlign w:val="bottom"/>
            <w:tcBorders>
              <w:left w:val="single" w:sz="8" w:color="auto"/>
            </w:tcBorders>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20"/>
                <w:szCs w:val="20"/>
                <w:color w:val="auto"/>
              </w:rPr>
            </w:pPr>
            <w:r>
              <w:rPr>
                <w:rFonts w:ascii="Arial" w:cs="Arial" w:eastAsia="Arial" w:hAnsi="Arial"/>
                <w:sz w:val="16"/>
                <w:szCs w:val="16"/>
                <w:color w:val="auto"/>
              </w:rPr>
              <w:t>2051</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gridSpan w:val="5"/>
          </w:tcPr>
          <w:p>
            <w:pPr>
              <w:jc w:val="center"/>
              <w:ind w:right="19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9"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gridSpan w:val="5"/>
          </w:tcPr>
          <w:p>
            <w:pPr>
              <w:jc w:val="right"/>
              <w:ind w:right="40"/>
              <w:spacing w:after="0"/>
              <w:rPr>
                <w:sz w:val="20"/>
                <w:szCs w:val="20"/>
                <w:color w:val="auto"/>
              </w:rPr>
            </w:pPr>
            <w:r>
              <w:rPr>
                <w:rFonts w:ascii="Arial" w:cs="Arial" w:eastAsia="Arial" w:hAnsi="Arial"/>
                <w:sz w:val="16"/>
                <w:szCs w:val="16"/>
                <w:color w:val="auto"/>
              </w:rPr>
              <w:t>Total Offering Amounts:</w:t>
            </w:r>
          </w:p>
        </w:tc>
        <w:tc>
          <w:tcPr>
            <w:tcW w:w="78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$ 876,621.37</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6,347,729,000.00</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7"/>
          </w:tcPr>
          <w:p>
            <w:pPr>
              <w:jc w:val="right"/>
              <w:ind w:right="40"/>
              <w:spacing w:after="0"/>
              <w:rPr>
                <w:sz w:val="20"/>
                <w:szCs w:val="20"/>
                <w:color w:val="auto"/>
              </w:rPr>
            </w:pPr>
            <w:r>
              <w:rPr>
                <w:rFonts w:ascii="Arial" w:cs="Arial" w:eastAsia="Arial" w:hAnsi="Arial"/>
                <w:sz w:val="16"/>
                <w:szCs w:val="16"/>
                <w:color w:val="auto"/>
              </w:rPr>
              <w:t>Total Fees Previously Paid:</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5"/>
          </w:tcPr>
          <w:p>
            <w:pPr>
              <w:jc w:val="right"/>
              <w:ind w:right="40"/>
              <w:spacing w:after="0"/>
              <w:rPr>
                <w:sz w:val="20"/>
                <w:szCs w:val="20"/>
                <w:color w:val="auto"/>
              </w:rPr>
            </w:pPr>
            <w:r>
              <w:rPr>
                <w:rFonts w:ascii="Arial" w:cs="Arial" w:eastAsia="Arial" w:hAnsi="Arial"/>
                <w:sz w:val="16"/>
                <w:szCs w:val="16"/>
                <w:color w:val="auto"/>
              </w:rPr>
              <w:t>Total Fee Offsets:</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color w:val="auto"/>
              </w:rPr>
              <w:t>Net Fee Due:</w:t>
            </w: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$ 876,621.37</w:t>
            </w: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2" w:lineRule="exact"/>
        <w:rPr>
          <w:sz w:val="20"/>
          <w:szCs w:val="20"/>
          <w:color w:val="auto"/>
        </w:rPr>
      </w:pPr>
    </w:p>
    <w:p>
      <w:pPr>
        <w:ind w:left="200" w:right="200" w:hanging="168"/>
        <w:spacing w:after="0" w:line="236" w:lineRule="auto"/>
        <w:tabs>
          <w:tab w:leader="none" w:pos="200" w:val="left"/>
        </w:tabs>
        <w:numPr>
          <w:ilvl w:val="0"/>
          <w:numId w:val="70"/>
        </w:numPr>
        <w:rPr>
          <w:rFonts w:ascii="Arial" w:cs="Arial" w:eastAsia="Arial" w:hAnsi="Arial"/>
          <w:sz w:val="20"/>
          <w:szCs w:val="20"/>
          <w:color w:val="auto"/>
          <w:vertAlign w:val="superscript"/>
        </w:rPr>
      </w:pPr>
      <w:r>
        <w:rPr>
          <w:rFonts w:ascii="Arial" w:cs="Arial" w:eastAsia="Arial" w:hAnsi="Arial"/>
          <w:sz w:val="16"/>
          <w:szCs w:val="16"/>
          <w:color w:val="auto"/>
        </w:rPr>
        <w:t>(1) The value of the securities canceled upon the issuance of the securities registered on this Form F-4, calculated in accordance with Rule 457(f) under the Securities Act of 1933, as amended, is equal to the principal amount of such securities. (2) The aggregate principal amount of each series of Exchange Notes to be issued will be determined upon completion of the Exchange Offers to which this registration statement relates. Shell plc will fully and unconditionally guarantee the Exchange Notes issued by Shell Finance US Inc. as to payment of principal, premium (if any), interest and any other amounts due. Pursuant to Rule 457(n) under the Securities Act of 1933, as amended, no separate fee is payable with respect to the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7152640"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7152640" cy="38100"/>
                    </a:xfrm>
                    <a:prstGeom prst="rect">
                      <a:avLst/>
                    </a:prstGeom>
                    <a:noFill/>
                  </pic:spPr>
                </pic:pic>
              </a:graphicData>
            </a:graphic>
          </wp:anchor>
        </w:drawing>
      </w:r>
    </w:p>
    <w:p>
      <w:pPr>
        <w:spacing w:after="0" w:line="214" w:lineRule="exact"/>
        <w:rPr>
          <w:sz w:val="20"/>
          <w:szCs w:val="20"/>
          <w:color w:val="auto"/>
        </w:rPr>
      </w:pPr>
    </w:p>
    <w:p>
      <w:pPr>
        <w:ind w:left="200" w:right="200" w:hanging="168"/>
        <w:spacing w:after="0" w:line="236" w:lineRule="auto"/>
        <w:tabs>
          <w:tab w:leader="none" w:pos="200" w:val="left"/>
        </w:tabs>
        <w:numPr>
          <w:ilvl w:val="0"/>
          <w:numId w:val="71"/>
        </w:numPr>
        <w:rPr>
          <w:rFonts w:ascii="Arial" w:cs="Arial" w:eastAsia="Arial" w:hAnsi="Arial"/>
          <w:sz w:val="20"/>
          <w:szCs w:val="20"/>
          <w:color w:val="auto"/>
          <w:vertAlign w:val="superscript"/>
        </w:rPr>
      </w:pPr>
      <w:r>
        <w:rPr>
          <w:rFonts w:ascii="Arial" w:cs="Arial" w:eastAsia="Arial" w:hAnsi="Arial"/>
          <w:sz w:val="16"/>
          <w:szCs w:val="16"/>
          <w:color w:val="auto"/>
        </w:rPr>
        <w:t>(1) The value of the securities canceled upon the issuance of the securities registered on this Form F-4, calculated in accordance with Rule 457(f) under the Securities Act of 1933, as amended, is equal to the principal amount of such securities. (2) The aggregate principal amount of each series of Exchange Notes to be issued will be determined upon completion of the Exchange Offers to which this registration statement relates. Shell plc will fully and unconditionally guarantee the Exchange Notes issued by Shell Finance US Inc. as to payment of principal, premium (if any), interest and any other amounts due. Pursuant to Rule 457(n) under the Securities Act of 1933, as amended, no separate fee is payable with respect to the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7152640"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7152640" cy="38100"/>
                    </a:xfrm>
                    <a:prstGeom prst="rect">
                      <a:avLst/>
                    </a:prstGeom>
                    <a:noFill/>
                  </pic:spPr>
                </pic:pic>
              </a:graphicData>
            </a:graphic>
          </wp:anchor>
        </w:drawing>
      </w:r>
    </w:p>
    <w:p>
      <w:pPr>
        <w:spacing w:after="0" w:line="214" w:lineRule="exact"/>
        <w:rPr>
          <w:sz w:val="20"/>
          <w:szCs w:val="20"/>
          <w:color w:val="auto"/>
        </w:rPr>
      </w:pPr>
    </w:p>
    <w:p>
      <w:pPr>
        <w:ind w:left="200" w:right="200" w:hanging="168"/>
        <w:spacing w:after="0" w:line="236" w:lineRule="auto"/>
        <w:tabs>
          <w:tab w:leader="none" w:pos="200" w:val="left"/>
        </w:tabs>
        <w:numPr>
          <w:ilvl w:val="0"/>
          <w:numId w:val="72"/>
        </w:numPr>
        <w:rPr>
          <w:rFonts w:ascii="Arial" w:cs="Arial" w:eastAsia="Arial" w:hAnsi="Arial"/>
          <w:sz w:val="20"/>
          <w:szCs w:val="20"/>
          <w:color w:val="auto"/>
          <w:vertAlign w:val="superscript"/>
        </w:rPr>
      </w:pPr>
      <w:r>
        <w:rPr>
          <w:rFonts w:ascii="Arial" w:cs="Arial" w:eastAsia="Arial" w:hAnsi="Arial"/>
          <w:sz w:val="16"/>
          <w:szCs w:val="16"/>
          <w:color w:val="auto"/>
        </w:rPr>
        <w:t>(1) The value of the securities canceled upon the issuance of the securities registered on this Form F-4, calculated in accordance with Rule 457(f) under the Securities Act of 1933, as amended, is equal to the principal amount of such securities. (2) The aggregate principal amount of each series of Exchange Notes to be issued will be determined upon completion of the Exchange Offers to which this registration statement relates. Shell plc will fully and unconditionally guarantee the Exchange Notes issued by Shell Finance US Inc. as to payment of principal, premium (if any), interest and any other amounts due. Pursuant to Rule 457(n) under the Securities Act of 1933, as amended, no separate fee is payable with respect to the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7152640"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152640" cy="38100"/>
                    </a:xfrm>
                    <a:prstGeom prst="rect">
                      <a:avLst/>
                    </a:prstGeom>
                    <a:noFill/>
                  </pic:spPr>
                </pic:pic>
              </a:graphicData>
            </a:graphic>
          </wp:anchor>
        </w:drawing>
      </w:r>
    </w:p>
    <w:p>
      <w:pPr>
        <w:spacing w:after="0" w:line="214" w:lineRule="exact"/>
        <w:rPr>
          <w:sz w:val="20"/>
          <w:szCs w:val="20"/>
          <w:color w:val="auto"/>
        </w:rPr>
      </w:pPr>
    </w:p>
    <w:p>
      <w:pPr>
        <w:ind w:left="200" w:right="200" w:hanging="168"/>
        <w:spacing w:after="0" w:line="236" w:lineRule="auto"/>
        <w:tabs>
          <w:tab w:leader="none" w:pos="200" w:val="left"/>
        </w:tabs>
        <w:numPr>
          <w:ilvl w:val="0"/>
          <w:numId w:val="73"/>
        </w:numPr>
        <w:rPr>
          <w:rFonts w:ascii="Arial" w:cs="Arial" w:eastAsia="Arial" w:hAnsi="Arial"/>
          <w:sz w:val="20"/>
          <w:szCs w:val="20"/>
          <w:color w:val="auto"/>
          <w:vertAlign w:val="superscript"/>
        </w:rPr>
      </w:pPr>
      <w:r>
        <w:rPr>
          <w:rFonts w:ascii="Arial" w:cs="Arial" w:eastAsia="Arial" w:hAnsi="Arial"/>
          <w:sz w:val="16"/>
          <w:szCs w:val="16"/>
          <w:color w:val="auto"/>
        </w:rPr>
        <w:t>(1) The value of the securities canceled upon the issuance of the securities registered on this Form F-4, calculated in accordance with Rule 457(f) under the Securities Act of 1933, as amended, is equal to the principal amount of such securities. (2) The aggregate principal amount of each series of Exchange Notes to be issued will be determined upon completion of the Exchange Offers to which this registration statement relates. Shell plc will fully and unconditionally guarantee the Exchange Notes issued by Shell Finance US Inc. as to payment of principal, premium (if any), interest and any other amounts due. Pursuant to Rule 457(n) under the Securities Act of 1933, as amended, no separate fee is payable with respect to the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7152640"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7152640" cy="38100"/>
                    </a:xfrm>
                    <a:prstGeom prst="rect">
                      <a:avLst/>
                    </a:prstGeom>
                    <a:noFill/>
                  </pic:spPr>
                </pic:pic>
              </a:graphicData>
            </a:graphic>
          </wp:anchor>
        </w:drawing>
      </w:r>
    </w:p>
    <w:p>
      <w:pPr>
        <w:spacing w:after="0" w:line="214" w:lineRule="exact"/>
        <w:rPr>
          <w:sz w:val="20"/>
          <w:szCs w:val="20"/>
          <w:color w:val="auto"/>
        </w:rPr>
      </w:pPr>
    </w:p>
    <w:p>
      <w:pPr>
        <w:ind w:left="200" w:right="200" w:hanging="168"/>
        <w:spacing w:after="0" w:line="231" w:lineRule="auto"/>
        <w:tabs>
          <w:tab w:leader="none" w:pos="200" w:val="left"/>
        </w:tabs>
        <w:numPr>
          <w:ilvl w:val="0"/>
          <w:numId w:val="74"/>
        </w:numPr>
        <w:rPr>
          <w:rFonts w:ascii="Arial" w:cs="Arial" w:eastAsia="Arial" w:hAnsi="Arial"/>
          <w:sz w:val="20"/>
          <w:szCs w:val="20"/>
          <w:color w:val="auto"/>
          <w:vertAlign w:val="superscript"/>
        </w:rPr>
      </w:pPr>
      <w:r>
        <w:rPr>
          <w:rFonts w:ascii="Arial" w:cs="Arial" w:eastAsia="Arial" w:hAnsi="Arial"/>
          <w:sz w:val="16"/>
          <w:szCs w:val="16"/>
          <w:color w:val="auto"/>
        </w:rPr>
        <w:t>(1) The value of the securities canceled upon the issuance of the securities registered on this Form F-4, calculated in accordance with Rule 457(f) under the Securities Act of 1933, as amended, is equal to the principal amount of such securities. (2) The aggregate principal amount of each series of</w:t>
      </w:r>
    </w:p>
    <w:p>
      <w:pPr>
        <w:sectPr>
          <w:pgSz w:w="11900" w:h="16839" w:orient="portrait"/>
          <w:cols w:equalWidth="0" w:num="1">
            <w:col w:w="11360"/>
          </w:cols>
          <w:pgMar w:left="300" w:top="141" w:right="239" w:bottom="0" w:gutter="0" w:footer="0" w:header="0"/>
        </w:sectPr>
      </w:pPr>
    </w:p>
    <w:bookmarkStart w:id="143" w:name="page144"/>
    <w:bookmarkEnd w:id="143"/>
    <w:p>
      <w:pPr>
        <w:jc w:val="both"/>
        <w:ind w:left="200" w:right="200"/>
        <w:spacing w:after="0" w:line="259" w:lineRule="auto"/>
        <w:rPr>
          <w:sz w:val="20"/>
          <w:szCs w:val="20"/>
          <w:color w:val="auto"/>
        </w:rPr>
      </w:pPr>
      <w:r>
        <w:rPr>
          <w:rFonts w:ascii="Arial" w:cs="Arial" w:eastAsia="Arial" w:hAnsi="Arial"/>
          <w:sz w:val="16"/>
          <w:szCs w:val="16"/>
          <w:color w:val="auto"/>
        </w:rPr>
        <w:t>Exchange Notes to be issued will be determined upon completion of the Exchange Offers to which this registration statement relates. Shell plc will fully and unconditionally guarantee the Exchange Notes issued by Shell Finance US Inc. as to payment of principal, premium (if any), interest and any other amounts due. Pursuant to Rule 457(n) under the Securities Act of 1933, as amended, no separate fee is payable with respect to the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49530</wp:posOffset>
            </wp:positionV>
            <wp:extent cx="7152640"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7152640" cy="38100"/>
                    </a:xfrm>
                    <a:prstGeom prst="rect">
                      <a:avLst/>
                    </a:prstGeom>
                    <a:noFill/>
                  </pic:spPr>
                </pic:pic>
              </a:graphicData>
            </a:graphic>
          </wp:anchor>
        </w:drawing>
      </w:r>
    </w:p>
    <w:p>
      <w:pPr>
        <w:spacing w:after="0" w:line="200" w:lineRule="exact"/>
        <w:rPr>
          <w:sz w:val="20"/>
          <w:szCs w:val="20"/>
          <w:color w:val="auto"/>
        </w:rPr>
      </w:pPr>
    </w:p>
    <w:p>
      <w:pPr>
        <w:ind w:left="200" w:right="140" w:hanging="168"/>
        <w:spacing w:after="0" w:line="236" w:lineRule="auto"/>
        <w:tabs>
          <w:tab w:leader="none" w:pos="200" w:val="left"/>
        </w:tabs>
        <w:numPr>
          <w:ilvl w:val="0"/>
          <w:numId w:val="75"/>
        </w:numPr>
        <w:rPr>
          <w:rFonts w:ascii="Arial" w:cs="Arial" w:eastAsia="Arial" w:hAnsi="Arial"/>
          <w:sz w:val="20"/>
          <w:szCs w:val="20"/>
          <w:color w:val="auto"/>
          <w:vertAlign w:val="superscript"/>
        </w:rPr>
      </w:pPr>
      <w:r>
        <w:rPr>
          <w:rFonts w:ascii="Arial" w:cs="Arial" w:eastAsia="Arial" w:hAnsi="Arial"/>
          <w:sz w:val="16"/>
          <w:szCs w:val="16"/>
          <w:color w:val="auto"/>
        </w:rPr>
        <w:t>(1) The value of the securities canceled upon the issuance of the securities registered on this Form F-4, calculated in accordance with Rule 457(f) under the Securities Act of 1933, as amended, is equal to the principal amount of such securities. (2) The aggregate principal amount of each series of Exchange Notes to be issued will be determined upon completion of the Exchange Offers to which this registration statement relates. Shell plc will fully and unconditionally guarantee the Exchange Notes issued by Shell Finance US Inc. as to payment of principal, premium (if any), interest and any other amounts due. Pursuant to Rule 457(n) under the Securities Act of 1933, as amended, no separate fee is payable with respect to the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7152640"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7152640" cy="3810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342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4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4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or</w:t>
            </w:r>
          </w:p>
        </w:tc>
        <w:tc>
          <w:tcPr>
            <w:tcW w:w="20" w:type="dxa"/>
            <w:vAlign w:val="bottom"/>
          </w:tcPr>
          <w:p>
            <w:pPr>
              <w:spacing w:after="0"/>
              <w:rPr>
                <w:sz w:val="7"/>
                <w:szCs w:val="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4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7"/>
                <w:szCs w:val="7"/>
                <w:color w:val="auto"/>
              </w:rPr>
            </w:pPr>
          </w:p>
        </w:tc>
        <w:tc>
          <w:tcPr>
            <w:tcW w:w="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40" w:type="dxa"/>
            <w:vAlign w:val="bottom"/>
            <w:tcBorders>
              <w:right w:val="single" w:sz="8" w:color="9ADAF6"/>
            </w:tcBorders>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60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40" w:type="dxa"/>
            <w:vAlign w:val="bottom"/>
            <w:shd w:val="clear" w:color="auto" w:fill="9ADAF6"/>
          </w:tcPr>
          <w:p>
            <w:pPr>
              <w:jc w:val="center"/>
              <w:ind w:right="178"/>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Number</w:t>
            </w:r>
          </w:p>
        </w:tc>
        <w:tc>
          <w:tcPr>
            <w:tcW w:w="4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40" w:type="dxa"/>
            <w:vAlign w:val="bottom"/>
            <w:tcBorders>
              <w:right w:val="single" w:sz="8" w:color="9ADAF6"/>
            </w:tcBorders>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6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80" w:type="dxa"/>
            <w:vAlign w:val="bottom"/>
            <w:gridSpan w:val="3"/>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4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Source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4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6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0"/>
          </w:tcPr>
          <w:p>
            <w:pPr>
              <w:ind w:left="52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3"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4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3"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4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342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3"/>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vMerge w:val="restart"/>
            <w:shd w:val="clear" w:color="auto" w:fill="9ADAF6"/>
          </w:tcPr>
          <w:p>
            <w:pPr>
              <w:jc w:val="center"/>
              <w:ind w:right="141"/>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restart"/>
            <w:shd w:val="clear" w:color="auto" w:fill="9ADAF6"/>
          </w:tcPr>
          <w:p>
            <w:pPr>
              <w:ind w:left="400"/>
              <w:spacing w:after="0"/>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80" w:type="dxa"/>
            <w:vAlign w:val="bottom"/>
            <w:gridSpan w:val="3"/>
            <w:vMerge w:val="restart"/>
            <w:shd w:val="clear" w:color="auto" w:fill="9ADAF6"/>
          </w:tcPr>
          <w:p>
            <w:pPr>
              <w:jc w:val="center"/>
              <w:ind w:right="282"/>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540" w:type="dxa"/>
            <w:vAlign w:val="bottom"/>
            <w:gridSpan w:val="2"/>
            <w:vMerge w:val="restart"/>
            <w:shd w:val="clear" w:color="auto" w:fill="9ADAF6"/>
          </w:tcPr>
          <w:p>
            <w:pP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4"/>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60" w:type="dxa"/>
            <w:vAlign w:val="bottom"/>
            <w:gridSpan w:val="5"/>
            <w:vMerge w:val="restart"/>
            <w:shd w:val="clear" w:color="auto" w:fill="9ADAF6"/>
          </w:tcPr>
          <w:p>
            <w:pPr>
              <w:ind w:left="640"/>
              <w:spacing w:after="0"/>
              <w:rPr>
                <w:sz w:val="20"/>
                <w:szCs w:val="20"/>
                <w:color w:val="auto"/>
              </w:rPr>
            </w:pPr>
            <w:r>
              <w:rPr>
                <w:rFonts w:ascii="Arial" w:cs="Arial" w:eastAsia="Arial" w:hAnsi="Arial"/>
                <w:sz w:val="16"/>
                <w:szCs w:val="16"/>
                <w:b w:val="1"/>
                <w:bCs w:val="1"/>
                <w:color w:val="auto"/>
              </w:rPr>
              <w:t>Security Class Title</w:t>
            </w:r>
          </w:p>
        </w:tc>
        <w:tc>
          <w:tcPr>
            <w:tcW w:w="4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4"/>
            <w:vMerge w:val="continue"/>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60" w:type="dxa"/>
            <w:vAlign w:val="bottom"/>
            <w:gridSpan w:val="5"/>
            <w:vMerge w:val="continue"/>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540" w:type="dxa"/>
            <w:vAlign w:val="bottom"/>
            <w:gridSpan w:val="2"/>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3"/>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restart"/>
            <w:shd w:val="clear" w:color="auto" w:fill="9ADAF6"/>
          </w:tcPr>
          <w:p>
            <w:pPr>
              <w:jc w:val="center"/>
              <w:ind w:right="161"/>
              <w:spacing w:after="0"/>
              <w:rPr>
                <w:sz w:val="20"/>
                <w:szCs w:val="20"/>
                <w:color w:val="auto"/>
              </w:rPr>
            </w:pPr>
            <w:r>
              <w:rPr>
                <w:rFonts w:ascii="Arial" w:cs="Arial" w:eastAsia="Arial" w:hAnsi="Arial"/>
                <w:sz w:val="16"/>
                <w:szCs w:val="16"/>
                <w:b w:val="1"/>
                <w:bCs w:val="1"/>
                <w:color w:val="auto"/>
              </w:rPr>
              <w:t>Date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4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80" w:type="dxa"/>
            <w:vAlign w:val="bottom"/>
            <w:gridSpan w:val="3"/>
            <w:vMerge w:val="restart"/>
            <w:shd w:val="clear" w:color="auto" w:fill="9ADAF6"/>
          </w:tcPr>
          <w:p>
            <w:pPr>
              <w:jc w:val="center"/>
              <w:ind w:right="282"/>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1)"/>
      <w:numFmt w:val="decimal"/>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1)"/>
      <w:numFmt w:val="decimal"/>
      <w:start w:val="1"/>
    </w:lvl>
  </w:abstractNum>
  <w:abstractNum w:abstractNumId="17">
    <w:nsid w:val="542289EC"/>
    <w:multiLevelType w:val="hybridMultilevel"/>
    <w:lvl w:ilvl="0">
      <w:lvlJc w:val="left"/>
      <w:lvlText w:val="(%1)"/>
      <w:numFmt w:val="decimal"/>
      <w:start w:val="1"/>
    </w:lvl>
  </w:abstractNum>
  <w:abstractNum w:abstractNumId="18">
    <w:nsid w:val="6DE91B18"/>
    <w:multiLevelType w:val="hybridMultilevel"/>
    <w:lvl w:ilvl="0">
      <w:lvlJc w:val="left"/>
      <w:lvlText w:val="(%1)"/>
      <w:numFmt w:val="decimal"/>
      <w:start w:val="3"/>
    </w:lvl>
  </w:abstractNum>
  <w:abstractNum w:abstractNumId="19">
    <w:nsid w:val="38437FDB"/>
    <w:multiLevelType w:val="hybridMultilevel"/>
    <w:lvl w:ilvl="0">
      <w:lvlJc w:val="left"/>
      <w:lvlText w:val="(%1)"/>
      <w:numFmt w:val="lowerRoman"/>
      <w:start w:val="2"/>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1)"/>
      <w:numFmt w:val="decimal"/>
      <w:start w:val="1"/>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lvl w:ilvl="1">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1)"/>
      <w:numFmt w:val="decimal"/>
      <w:start w:val="10"/>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1)"/>
      <w:numFmt w:val="lowerRoman"/>
      <w:start w:val="1"/>
    </w:lvl>
  </w:abstractNum>
  <w:abstractNum w:abstractNumId="43">
    <w:nsid w:val="15B5AF5C"/>
    <w:multiLevelType w:val="hybridMultilevel"/>
    <w:lvl w:ilvl="0">
      <w:lvlJc w:val="left"/>
      <w:lvlText w:val="(%1)"/>
      <w:numFmt w:val="lowerLetter"/>
      <w:start w:val="1"/>
    </w:lvl>
  </w:abstractNum>
  <w:abstractNum w:abstractNumId="44">
    <w:nsid w:val="741226BB"/>
    <w:multiLevelType w:val="hybridMultilevel"/>
    <w:lvl w:ilvl="0">
      <w:lvlJc w:val="left"/>
      <w:lvlText w:val="(%1)"/>
      <w:numFmt w:val="decimal"/>
      <w:start w:val="1"/>
    </w:lvl>
    <w:lvl w:ilvl="1">
      <w:lvlJc w:val="left"/>
      <w:lvlText w:val="(%2)"/>
      <w:numFmt w:val="lowerRoman"/>
      <w:start w:val="1"/>
    </w:lvl>
  </w:abstractNum>
  <w:abstractNum w:abstractNumId="45">
    <w:nsid w:val="D34B6A8"/>
    <w:multiLevelType w:val="hybridMultilevel"/>
    <w:lvl w:ilvl="0">
      <w:lvlJc w:val="left"/>
      <w:lvlText w:val="%1"/>
      <w:numFmt w:val="decimal"/>
      <w:start w:val="1"/>
    </w:lvl>
    <w:lvl w:ilvl="1">
      <w:lvlJc w:val="left"/>
      <w:lvlText w:val="(%2)"/>
      <w:numFmt w:val="lowerRoman"/>
      <w:start w:val="1"/>
    </w:lvl>
  </w:abstractNum>
  <w:abstractNum w:abstractNumId="46">
    <w:nsid w:val="10233C99"/>
    <w:multiLevelType w:val="hybridMultilevel"/>
    <w:lvl w:ilvl="0">
      <w:lvlJc w:val="left"/>
      <w:lvlText w:val="(%1)"/>
      <w:numFmt w:val="decimal"/>
      <w:start w:val="7"/>
    </w:lvl>
    <w:lvl w:ilvl="1">
      <w:lvlJc w:val="left"/>
      <w:lvlText w:val="%2"/>
      <w:numFmt w:val="lowerRoman"/>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1)"/>
      <w:numFmt w:val="lowerLetter"/>
      <w:start w:val="3"/>
    </w:lvl>
    <w:lvl w:ilvl="1">
      <w:lvlJc w:val="left"/>
      <w:lvlText w:val="(%2)"/>
      <w:numFmt w:val="lowerRoman"/>
      <w:start w:val="1"/>
    </w:lvl>
  </w:abstractNum>
  <w:abstractNum w:abstractNumId="49">
    <w:nsid w:val="7E0C57B1"/>
    <w:multiLevelType w:val="hybridMultilevel"/>
    <w:lvl w:ilvl="0">
      <w:lvlJc w:val="left"/>
      <w:lvlText w:val="(%1)"/>
      <w:numFmt w:val="decimal"/>
      <w:start w:val="4"/>
    </w:lvl>
  </w:abstractNum>
  <w:abstractNum w:abstractNumId="50">
    <w:nsid w:val="77AE35EB"/>
    <w:multiLevelType w:val="hybridMultilevel"/>
    <w:lvl w:ilvl="0">
      <w:lvlJc w:val="left"/>
      <w:lvlText w:val="%1."/>
      <w:numFmt w:val="decimal"/>
      <w:start w:val="3"/>
    </w:lvl>
  </w:abstractNum>
  <w:abstractNum w:abstractNumId="51">
    <w:nsid w:val="579BE4F1"/>
    <w:multiLevelType w:val="hybridMultilevel"/>
    <w:lvl w:ilvl="0">
      <w:lvlJc w:val="left"/>
      <w:lvlText w:val="(%1)"/>
      <w:numFmt w:val="decimal"/>
      <w:start w:val="2"/>
    </w:lvl>
  </w:abstractNum>
  <w:abstractNum w:abstractNumId="52">
    <w:nsid w:val="310C50B3"/>
    <w:multiLevelType w:val="hybridMultilevel"/>
    <w:lvl w:ilvl="0">
      <w:lvlJc w:val="left"/>
      <w:lvlText w:val="%1."/>
      <w:numFmt w:val="decimal"/>
      <w:start w:val="6"/>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decimal"/>
      <w:start w:val="3"/>
    </w:lvl>
    <w:lvl w:ilvl="1">
      <w:lvlJc w:val="left"/>
      <w:lvlText w:val="(%2)"/>
      <w:numFmt w:val="lowerLetter"/>
      <w:start w:val="1"/>
    </w:lvl>
  </w:abstractNum>
  <w:abstractNum w:abstractNumId="55">
    <w:nsid w:val="25A70BF7"/>
    <w:multiLevelType w:val="hybridMultilevel"/>
    <w:lvl w:ilvl="0">
      <w:lvlJc w:val="left"/>
      <w:lvlText w:val="%1."/>
      <w:numFmt w:val="decimal"/>
      <w:start w:val="6"/>
    </w:lvl>
    <w:lvl w:ilvl="1">
      <w:lvlJc w:val="left"/>
      <w:lvlText w:val="(%2)"/>
      <w:numFmt w:val="lowerLetter"/>
      <w:start w:val="1"/>
    </w:lvl>
  </w:abstractNum>
  <w:abstractNum w:abstractNumId="56">
    <w:nsid w:val="1DBABF00"/>
    <w:multiLevelType w:val="hybridMultilevel"/>
    <w:lvl w:ilvl="0">
      <w:lvlJc w:val="left"/>
      <w:lvlText w:val="(%1)"/>
      <w:numFmt w:val="lowerLetter"/>
      <w:start w:val="5"/>
    </w:lvl>
  </w:abstractNum>
  <w:abstractNum w:abstractNumId="57">
    <w:nsid w:val="4AD084E9"/>
    <w:multiLevelType w:val="hybridMultilevel"/>
    <w:lvl w:ilvl="0">
      <w:lvlJc w:val="left"/>
      <w:lvlText w:val="(%1)"/>
      <w:numFmt w:val="lowerLetter"/>
      <w:start w:val="13"/>
    </w:lvl>
  </w:abstractNum>
  <w:abstractNum w:abstractNumId="58">
    <w:nsid w:val="1F48EAA1"/>
    <w:multiLevelType w:val="hybridMultilevel"/>
    <w:lvl w:ilvl="0">
      <w:lvlJc w:val="left"/>
      <w:lvlText w:val="%1."/>
      <w:numFmt w:val="decimal"/>
      <w:start w:val="7"/>
    </w:lvl>
    <w:lvl w:ilvl="1">
      <w:lvlJc w:val="left"/>
      <w:lvlText w:val="(%2)"/>
      <w:numFmt w:val="lowerLetter"/>
      <w:start w:val="1"/>
    </w:lvl>
  </w:abstractNum>
  <w:abstractNum w:abstractNumId="59">
    <w:nsid w:val="1381823A"/>
    <w:multiLevelType w:val="hybridMultilevel"/>
    <w:lvl w:ilvl="0">
      <w:lvlJc w:val="left"/>
      <w:lvlText w:val="(%1)"/>
      <w:numFmt w:val="lowerLetter"/>
      <w:start w:val="5"/>
    </w:lvl>
  </w:abstractNum>
  <w:abstractNum w:abstractNumId="60">
    <w:nsid w:val="5DB70AE5"/>
    <w:multiLevelType w:val="hybridMultilevel"/>
    <w:lvl w:ilvl="0">
      <w:lvlJc w:val="left"/>
      <w:lvlText w:val="%1."/>
      <w:numFmt w:val="decimal"/>
      <w:start w:val="8"/>
    </w:lvl>
    <w:lvl w:ilvl="1">
      <w:lvlJc w:val="left"/>
      <w:lvlText w:val="(%2)"/>
      <w:numFmt w:val="lowerLetter"/>
      <w:start w:val="1"/>
    </w:lvl>
  </w:abstractNum>
  <w:abstractNum w:abstractNumId="61">
    <w:nsid w:val="100F8FCA"/>
    <w:multiLevelType w:val="hybridMultilevel"/>
    <w:lvl w:ilvl="0">
      <w:lvlJc w:val="left"/>
      <w:lvlText w:val="(%1)"/>
      <w:numFmt w:val="lowerLetter"/>
      <w:start w:val="8"/>
    </w:lvl>
    <w:lvl w:ilvl="1">
      <w:lvlJc w:val="left"/>
      <w:lvlText w:val="(%2)"/>
      <w:numFmt w:val="lowerRoman"/>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1)"/>
      <w:numFmt w:val="lowerRoman"/>
      <w:start w:val="2"/>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1"/>
      <w:numFmt w:val="bullet"/>
      <w:start w:val="1"/>
    </w:lvl>
  </w:abstractNum>
  <w:abstractNum w:abstractNumId="70">
    <w:nsid w:val="1EBA5D23"/>
    <w:multiLevelType w:val="hybridMultilevel"/>
    <w:lvl w:ilvl="0">
      <w:lvlJc w:val="left"/>
      <w:lvlText w:val="2"/>
      <w:numFmt w:val="bullet"/>
      <w:start w:val="1"/>
    </w:lvl>
  </w:abstractNum>
  <w:abstractNum w:abstractNumId="71">
    <w:nsid w:val="661E3F1E"/>
    <w:multiLevelType w:val="hybridMultilevel"/>
    <w:lvl w:ilvl="0">
      <w:lvlJc w:val="left"/>
      <w:lvlText w:val="3"/>
      <w:numFmt w:val="bullet"/>
      <w:start w:val="1"/>
    </w:lvl>
  </w:abstractNum>
  <w:abstractNum w:abstractNumId="72">
    <w:nsid w:val="5DC79EA8"/>
    <w:multiLevelType w:val="hybridMultilevel"/>
    <w:lvl w:ilvl="0">
      <w:lvlJc w:val="left"/>
      <w:lvlText w:val="4"/>
      <w:numFmt w:val="bullet"/>
      <w:start w:val="1"/>
    </w:lvl>
  </w:abstractNum>
  <w:abstractNum w:abstractNumId="73">
    <w:nsid w:val="540A471C"/>
    <w:multiLevelType w:val="hybridMultilevel"/>
    <w:lvl w:ilvl="0">
      <w:lvlJc w:val="left"/>
      <w:lvlText w:val="5"/>
      <w:numFmt w:val="bullet"/>
      <w:start w:val="1"/>
    </w:lvl>
  </w:abstractNum>
  <w:abstractNum w:abstractNumId="74">
    <w:nsid w:val="7BD3EE7B"/>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jpeg"/><Relationship Id="rId170" Type="http://schemas.openxmlformats.org/officeDocument/2006/relationships/image" Target="media/image159.png"/><Relationship Id="rId171" Type="http://schemas.openxmlformats.org/officeDocument/2006/relationships/image" Target="media/image160.jpeg"/><Relationship Id="rId172" Type="http://schemas.openxmlformats.org/officeDocument/2006/relationships/image" Target="media/image161.png"/><Relationship Id="rId173" Type="http://schemas.openxmlformats.org/officeDocument/2006/relationships/image" Target="media/image162.jpeg"/><Relationship Id="rId174" Type="http://schemas.openxmlformats.org/officeDocument/2006/relationships/image" Target="media/image163.png"/><Relationship Id="rId175" Type="http://schemas.openxmlformats.org/officeDocument/2006/relationships/image" Target="media/image164.jpeg"/><Relationship Id="rId176" Type="http://schemas.openxmlformats.org/officeDocument/2006/relationships/image" Target="media/image165.png"/><Relationship Id="rId177" Type="http://schemas.openxmlformats.org/officeDocument/2006/relationships/image" Target="media/image166.jpeg"/><Relationship Id="rId178" Type="http://schemas.openxmlformats.org/officeDocument/2006/relationships/image" Target="media/image167.png"/><Relationship Id="rId179" Type="http://schemas.openxmlformats.org/officeDocument/2006/relationships/image" Target="media/image168.jpeg"/><Relationship Id="rId180" Type="http://schemas.openxmlformats.org/officeDocument/2006/relationships/image" Target="media/image169.png"/><Relationship Id="rId181" Type="http://schemas.openxmlformats.org/officeDocument/2006/relationships/image" Target="media/image170.jpeg"/><Relationship Id="rId182" Type="http://schemas.openxmlformats.org/officeDocument/2006/relationships/image" Target="media/image171.png"/><Relationship Id="rId183" Type="http://schemas.openxmlformats.org/officeDocument/2006/relationships/image" Target="media/image172.jpe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89" Type="http://schemas.openxmlformats.org/officeDocument/2006/relationships/hyperlink" Target="http://www.sec.gov/Archives/edgar/data/1306965/000095015711000851/ex4-12.htm" TargetMode="External"/><Relationship Id="rId90" Type="http://schemas.openxmlformats.org/officeDocument/2006/relationships/hyperlink" Target="http://www.sec.gov/Archives/edgar/data/1306965/000095015723000575/ex4-2.htm" TargetMode="External"/><Relationship Id="rId91" Type="http://schemas.openxmlformats.org/officeDocument/2006/relationships/hyperlink" Target="http://www.sec.gov/Archives/edgar/data/1306965/000095015724001395/ex99-1.htm" TargetMode="External"/><Relationship Id="rId92" Type="http://schemas.openxmlformats.org/officeDocument/2006/relationships/hyperlink" Target="http://www.sec.gov/Archives/edgar/data/1306965/000162828026017024/a2025exhibits-8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2026-05-22T08:21:06Z</dcterms:created>
  <dcterms:modified xsi:type="dcterms:W3CDTF">2026-05-22T08:21:06Z</dcterms:modified>
</cp:coreProperties>
</file>