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3026.htm"/>
      <w:bookmarkStart w:id="1" w:name="ksf6k_073026"/>
      <w:bookmarkEnd w:id="0"/>
      <w:bookmarkEnd w:id="1"/>
      <w:r>
        <w:rPr>
          <w:bdr w:val="single" w:sz="20" w:space="1" w:color="000000"/>
        </w:rPr>
        <w:t> </w:t>
      </w:r>
    </w:p>
    <w:p>
      <w:pPr>
        <w:pStyle w:val="TextBody"/>
        <w:bidi w:val="0"/>
        <w:jc w:val="center"/>
        <w:rPr/>
      </w:pPr>
      <w:r>
        <w:rPr>
          <w:rStyle w:val="StrongEmphasis"/>
          <w:caps/>
          <w:sz w:val="28"/>
        </w:rPr>
        <w:t>UNITED STATES</w:t>
        <w:br/>
        <w:t>SECURITIES AND EXCHANGE COMMISSION</w:t>
        <w:br/>
        <w:t>Washington, D.C. 20549 </w:t>
      </w:r>
    </w:p>
    <w:p>
      <w:pPr>
        <w:pStyle w:val="TextBody"/>
        <w:bidi w:val="0"/>
        <w:jc w:val="center"/>
        <w:rPr/>
      </w:pPr>
      <w:r>
        <w:rPr>
          <w:rStyle w:val="StrongEmphasis"/>
          <w:caps/>
          <w:sz w:val="28"/>
        </w:rPr>
        <w:t>Form 6-K</w:t>
      </w:r>
    </w:p>
    <w:p>
      <w:pPr>
        <w:pStyle w:val="TextBody"/>
        <w:bidi w:val="0"/>
        <w:jc w:val="center"/>
        <w:rPr/>
      </w:pPr>
      <w:r>
        <w:rPr>
          <w:rStyle w:val="StrongEmphasis"/>
          <w:sz w:val="24"/>
        </w:rPr>
        <w:t>REPORT OF FOREIGN ISSUER </w:t>
        <w:br/>
        <w:t>PURSUANT TO RULE 13a-16 OR 15d-16 </w:t>
        <w:br/>
        <w:t>UNDER THE SECURITIES EXCHANGE ACT OF 1934</w:t>
      </w:r>
      <w:r>
        <w:rPr/>
        <w:t> </w:t>
      </w:r>
    </w:p>
    <w:p>
      <w:pPr>
        <w:pStyle w:val="TextBody"/>
        <w:bidi w:val="0"/>
        <w:jc w:val="center"/>
        <w:rPr/>
      </w:pPr>
      <w:r>
        <w:rPr>
          <w:rStyle w:val="StrongEmphasis"/>
        </w:rPr>
        <w:t>For the month of July 2026</w:t>
      </w:r>
    </w:p>
    <w:p>
      <w:pPr>
        <w:pStyle w:val="TextBody"/>
        <w:bidi w:val="0"/>
        <w:jc w:val="center"/>
        <w:rPr/>
      </w:pPr>
      <w:r>
        <w:rPr>
          <w:rStyle w:val="StrongEmphasis"/>
        </w:rPr>
        <w:t>Commission File Number: 1-32575</w:t>
      </w:r>
      <w:r>
        <w:rPr/>
        <w:t> </w:t>
      </w:r>
    </w:p>
    <w:p>
      <w:pPr>
        <w:pStyle w:val="TextBody"/>
        <w:bidi w:val="0"/>
        <w:jc w:val="center"/>
        <w:rPr/>
      </w:pPr>
      <w:r>
        <w:rPr>
          <w:rStyle w:val="StrongEmphasis"/>
          <w:sz w:val="32"/>
        </w:rPr>
        <w:t>Shell plc</w:t>
      </w:r>
      <w:r>
        <w:rPr/>
        <w:br/>
        <w:t>(Exact name of registrant as specified in its charter) </w:t>
      </w:r>
    </w:p>
    <w:p>
      <w:pPr>
        <w:pStyle w:val="TextBody"/>
        <w:bidi w:val="0"/>
        <w:jc w:val="center"/>
        <w:rPr/>
      </w:pPr>
      <w:r>
        <w:rPr>
          <w:rStyle w:val="StrongEmphasis"/>
        </w:rPr>
        <w:t>England and Wales</w:t>
        <w:br/>
      </w:r>
      <w:r>
        <w:rPr/>
        <w:t>(Jurisdiction of incorporation or organization) </w:t>
      </w:r>
    </w:p>
    <w:p>
      <w:pPr>
        <w:pStyle w:val="TextBody"/>
        <w:bidi w:val="0"/>
        <w:jc w:val="center"/>
        <w:rPr/>
      </w:pPr>
      <w:r>
        <w:rPr>
          <w:rStyle w:val="StrongEmphasis"/>
        </w:rPr>
        <w:t>Shell Centre</w:t>
        <w:br/>
        <w:t>London, SE1 7NA</w:t>
        <w:br/>
        <w:t>United Kingdom</w:t>
        <w:br/>
      </w:r>
      <w:r>
        <w:rPr/>
        <w:t>(Address of principal executive office)</w:t>
      </w:r>
    </w:p>
    <w:p>
      <w:pPr>
        <w:pStyle w:val="TextBody"/>
        <w:bidi w:val="0"/>
        <w:jc w:val="center"/>
        <w:rPr/>
      </w:pPr>
      <w:r>
        <w:rPr>
          <w:rStyle w:val="StrongEmphasis"/>
        </w:rPr>
        <w:t>________________________________</w:t>
      </w:r>
    </w:p>
    <w:p>
      <w:pPr>
        <w:pStyle w:val="TextBody"/>
        <w:bidi w:val="0"/>
        <w:spacing w:before="0" w:after="283"/>
        <w:jc w:val="left"/>
        <w:rPr/>
      </w:pPr>
      <w:r>
        <w:rPr/>
        <w:t>Indicate by check mark whether the registrant files or will file annual reports under cover of Form 20-F or Form 40-F.</w:t>
      </w:r>
    </w:p>
    <w:p>
      <w:pPr>
        <w:pStyle w:val="TextBody"/>
        <w:bidi w:val="0"/>
        <w:jc w:val="center"/>
        <w:rPr/>
      </w:pPr>
      <w:r>
        <w:rPr/>
        <w:t>Form 20-F [ X ]      Form 40-F [   ]</w:t>
      </w:r>
    </w:p>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r>
        <w:rPr/>
        <w:t xml:space="preserve">  </w:t>
      </w:r>
    </w:p>
    <w:tbl>
      <w:tblPr>
        <w:tblW w:w="6940" w:type="dxa"/>
        <w:jc w:val="left"/>
        <w:tblInd w:w="0" w:type="dxa"/>
        <w:tblLayout w:type="fixed"/>
        <w:tblCellMar>
          <w:top w:w="0" w:type="dxa"/>
          <w:left w:w="0" w:type="dxa"/>
          <w:bottom w:w="0" w:type="dxa"/>
          <w:right w:w="0" w:type="dxa"/>
        </w:tblCellMar>
      </w:tblPr>
      <w:tblGrid>
        <w:gridCol w:w="1385"/>
        <w:gridCol w:w="300"/>
        <w:gridCol w:w="525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525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pPr>
            <w:r>
              <w:rPr/>
              <w:t> </w:t>
            </w:r>
          </w:p>
        </w:tc>
        <w:tc>
          <w:tcPr>
            <w:tcW w:w="30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pPr>
            <w:hyperlink w:anchor="exh_991.htm">
              <w:r>
                <w:rPr>
                  <w:rStyle w:val="InternetLink"/>
                  <w:sz w:val="20"/>
                </w:rPr>
                <w:t>Shell plc Second Quarter 2026 Interim Dividend</w:t>
              </w:r>
            </w:hyperlink>
            <w:r>
              <w:rPr>
                <w:sz w:val="20"/>
              </w:rPr>
              <w:t xml:space="preserve"> </w:t>
            </w:r>
          </w:p>
        </w:tc>
      </w:tr>
      <w:tr>
        <w:trPr/>
        <w:tc>
          <w:tcPr>
            <w:tcW w:w="1385" w:type="dxa"/>
            <w:tcBorders/>
            <w:vAlign w:val="center"/>
          </w:tcPr>
          <w:p>
            <w:pPr>
              <w:pStyle w:val="TableContents"/>
              <w:bidi w:val="0"/>
              <w:spacing w:before="0" w:after="283"/>
              <w:jc w:val="left"/>
              <w:rPr/>
            </w:pPr>
            <w:hyperlink w:anchor="exh_992.htm">
              <w:r>
                <w:rPr>
                  <w:rStyle w:val="InternetLink"/>
                  <w:sz w:val="20"/>
                </w:rPr>
                <w:t>99.2</w:t>
              </w:r>
            </w:hyperlink>
            <w:hyperlink w:anchor="exh_992.htm">
              <w:r>
                <w:rPr>
                  <w:rStyle w:val="InternetLink"/>
                </w:rPr>
                <w:t xml:space="preserve"> </w:t>
              </w:r>
            </w:hyperlink>
          </w:p>
        </w:tc>
        <w:tc>
          <w:tcPr>
            <w:tcW w:w="300" w:type="dxa"/>
            <w:tcBorders/>
            <w:vAlign w:val="center"/>
          </w:tcPr>
          <w:p>
            <w:pPr>
              <w:pStyle w:val="TableContents"/>
              <w:bidi w:val="0"/>
              <w:spacing w:before="0" w:after="283"/>
              <w:jc w:val="left"/>
              <w:rPr/>
            </w:pPr>
            <w:r>
              <w:rPr/>
              <w:t> </w:t>
            </w:r>
          </w:p>
        </w:tc>
        <w:tc>
          <w:tcPr>
            <w:tcW w:w="5255" w:type="dxa"/>
            <w:tcBorders/>
            <w:vAlign w:val="center"/>
          </w:tcPr>
          <w:p>
            <w:pPr>
              <w:pStyle w:val="TableContents"/>
              <w:bidi w:val="0"/>
              <w:spacing w:before="0" w:after="283"/>
              <w:jc w:val="left"/>
              <w:rPr/>
            </w:pPr>
            <w:hyperlink w:anchor="exh_992.htm">
              <w:r>
                <w:rPr>
                  <w:rStyle w:val="InternetLink"/>
                  <w:sz w:val="20"/>
                </w:rPr>
                <w:t>Shell announces commencement of a share buyback programme</w:t>
              </w:r>
            </w:hyperlink>
            <w:hyperlink w:anchor="exh_992.htm">
              <w:r>
                <w:rPr>
                  <w:rStyle w:val="InternetLink"/>
                </w:rPr>
                <w:t xml:space="preserve"> </w:t>
              </w:r>
            </w:hyperlink>
          </w:p>
        </w:tc>
      </w:tr>
    </w:tbl>
    <w:p>
      <w:pPr>
        <w:pStyle w:val="HorizontalLine"/>
        <w:pBdr>
          <w:bottom w:val="single" w:sz="12" w:space="0" w:color="808080"/>
        </w:pBdr>
        <w:bidi w:val="0"/>
        <w:jc w:val="left"/>
        <w:rPr/>
      </w:pPr>
      <w:r>
        <w:rPr/>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on Form 6-K is incorporated by reference into: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38"/>
        <w:gridCol w:w="9893"/>
      </w:tblGrid>
      <w:tr>
        <w:trPr/>
        <w:tc>
          <w:tcPr>
            <w:tcW w:w="74"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(a)</w:t>
            </w:r>
          </w:p>
        </w:tc>
        <w:tc>
          <w:tcPr>
            <w:tcW w:w="9893" w:type="dxa"/>
            <w:tcBorders/>
            <w:vAlign w:val="center"/>
          </w:tcPr>
          <w:p>
            <w:pPr>
              <w:pStyle w:val="TableContents"/>
              <w:bidi w:val="0"/>
              <w:spacing w:before="0" w:after="283"/>
              <w:jc w:val="left"/>
              <w:rPr/>
            </w:pPr>
            <w:r>
              <w:rPr/>
              <w:t>the Registration Statement on Form F-3 of Shell plc, Shell Finance US Inc. and Shell International Finance B.V. (Registration Numbers 333-276068, 333-276068-01 and 333-276068-02);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78"/>
        <w:gridCol w:w="9853"/>
      </w:tblGrid>
      <w:tr>
        <w:trPr/>
        <w:tc>
          <w:tcPr>
            <w:tcW w:w="74" w:type="dxa"/>
            <w:tcBorders/>
            <w:vAlign w:val="center"/>
          </w:tcPr>
          <w:p>
            <w:pPr>
              <w:pStyle w:val="TableContents"/>
              <w:bidi w:val="0"/>
              <w:spacing w:before="0" w:after="283"/>
              <w:jc w:val="left"/>
              <w:rPr/>
            </w:pPr>
            <w:r>
              <w:rPr/>
              <w:t> </w:t>
            </w:r>
          </w:p>
        </w:tc>
        <w:tc>
          <w:tcPr>
            <w:tcW w:w="278" w:type="dxa"/>
            <w:tcBorders/>
            <w:vAlign w:val="center"/>
          </w:tcPr>
          <w:p>
            <w:pPr>
              <w:pStyle w:val="TableContents"/>
              <w:bidi w:val="0"/>
              <w:spacing w:before="0" w:after="283"/>
              <w:jc w:val="left"/>
              <w:rPr/>
            </w:pPr>
            <w:r>
              <w:rPr/>
              <w:t>(b)</w:t>
            </w:r>
          </w:p>
        </w:tc>
        <w:tc>
          <w:tcPr>
            <w:tcW w:w="9853" w:type="dxa"/>
            <w:tcBorders/>
            <w:vAlign w:val="center"/>
          </w:tcPr>
          <w:p>
            <w:pPr>
              <w:pStyle w:val="TableContents"/>
              <w:bidi w:val="0"/>
              <w:spacing w:before="0" w:after="283"/>
              <w:jc w:val="left"/>
              <w:rPr/>
            </w:pPr>
            <w:r>
              <w:rPr/>
              <w:t>the Registration Statements on Form S-8 of Shell plc (Registration Numbers 333-262396, 333-272192 and 333-292109).</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Shell plc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July 30,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SEAN ASHLEY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Sean Ashley</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Company Secretary</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rPr>
        <w:t>Shell plc Second Quarter 2026 Interim Dividend</w:t>
      </w:r>
    </w:p>
    <w:p>
      <w:pPr>
        <w:pStyle w:val="TextBody"/>
        <w:bidi w:val="0"/>
        <w:spacing w:before="0" w:after="283"/>
        <w:jc w:val="left"/>
        <w:rPr/>
      </w:pPr>
      <w:r>
        <w:rPr>
          <w:b/>
        </w:rPr>
        <w:t>London, July 30, 2026</w:t>
      </w:r>
      <w:r>
        <w:rPr/>
        <w:t xml:space="preserve"> − The Board of Shell plc (the “Company”) (XLON: SHEL, XNYS: SHEL, XAMS: SHELL) today announced an interim dividend in respect of the second quarter of 2026 of US$ 0.3906 per ordinary share. </w:t>
      </w:r>
    </w:p>
    <w:p>
      <w:pPr>
        <w:pStyle w:val="TextBody"/>
        <w:bidi w:val="0"/>
        <w:jc w:val="left"/>
        <w:rPr>
          <w:b/>
        </w:rPr>
      </w:pPr>
      <w:r>
        <w:rPr>
          <w:b/>
        </w:rPr>
        <w:t>Details relating to the second quarter 2026 interim dividend</w:t>
      </w:r>
    </w:p>
    <w:tbl>
      <w:tblPr>
        <w:tblW w:w="3077" w:type="dxa"/>
        <w:jc w:val="left"/>
        <w:tblInd w:w="0" w:type="dxa"/>
        <w:tblLayout w:type="fixed"/>
        <w:tblCellMar>
          <w:top w:w="0" w:type="dxa"/>
          <w:left w:w="0" w:type="dxa"/>
          <w:bottom w:w="28" w:type="dxa"/>
          <w:right w:w="0" w:type="dxa"/>
        </w:tblCellMar>
      </w:tblPr>
      <w:tblGrid>
        <w:gridCol w:w="2086"/>
        <w:gridCol w:w="991"/>
      </w:tblGrid>
      <w:tr>
        <w:trPr/>
        <w:tc>
          <w:tcPr>
            <w:tcW w:w="2086" w:type="dxa"/>
            <w:tcBorders>
              <w:bottom w:val="single" w:sz="8" w:space="0" w:color="000000"/>
            </w:tcBorders>
            <w:vAlign w:val="center"/>
          </w:tcPr>
          <w:p>
            <w:pPr>
              <w:pStyle w:val="TableContents"/>
              <w:bidi w:val="0"/>
              <w:spacing w:before="0" w:after="283"/>
              <w:jc w:val="left"/>
              <w:rPr/>
            </w:pPr>
            <w:r>
              <w:rPr>
                <w:b/>
              </w:rPr>
              <w:t>Per ordinary share</w:t>
            </w:r>
            <w:r>
              <w:rPr/>
              <w:br/>
              <w:t>(GB00BP6MXD84)</w:t>
              <w:br/>
              <w:br/>
              <w:t> </w:t>
            </w:r>
          </w:p>
        </w:tc>
        <w:tc>
          <w:tcPr>
            <w:tcW w:w="991" w:type="dxa"/>
            <w:tcBorders>
              <w:bottom w:val="single" w:sz="8" w:space="0" w:color="000000"/>
            </w:tcBorders>
            <w:vAlign w:val="center"/>
          </w:tcPr>
          <w:p>
            <w:pPr>
              <w:pStyle w:val="TableContents"/>
              <w:bidi w:val="0"/>
              <w:spacing w:before="0" w:after="283"/>
              <w:jc w:val="left"/>
              <w:rPr>
                <w:b/>
              </w:rPr>
            </w:pPr>
            <w:r>
              <w:rPr>
                <w:b/>
              </w:rPr>
              <w:t>Q2 2026</w:t>
            </w:r>
          </w:p>
        </w:tc>
      </w:tr>
      <w:tr>
        <w:trPr/>
        <w:tc>
          <w:tcPr>
            <w:tcW w:w="2086" w:type="dxa"/>
            <w:tcBorders>
              <w:bottom w:val="single" w:sz="8" w:space="0" w:color="000000"/>
            </w:tcBorders>
            <w:vAlign w:val="center"/>
          </w:tcPr>
          <w:p>
            <w:pPr>
              <w:pStyle w:val="TableContents"/>
              <w:bidi w:val="0"/>
              <w:spacing w:before="0" w:after="283"/>
              <w:jc w:val="left"/>
              <w:rPr/>
            </w:pPr>
            <w:r>
              <w:rPr/>
              <w:t>Shell Shares (US$)</w:t>
            </w:r>
          </w:p>
        </w:tc>
        <w:tc>
          <w:tcPr>
            <w:tcW w:w="991" w:type="dxa"/>
            <w:tcBorders>
              <w:bottom w:val="single" w:sz="8" w:space="0" w:color="000000"/>
            </w:tcBorders>
            <w:vAlign w:val="center"/>
          </w:tcPr>
          <w:p>
            <w:pPr>
              <w:pStyle w:val="TableContents"/>
              <w:bidi w:val="0"/>
              <w:spacing w:before="0" w:after="283"/>
              <w:jc w:val="left"/>
              <w:rPr/>
            </w:pPr>
            <w:r>
              <w:rPr/>
              <w:t>0.3906</w:t>
            </w:r>
          </w:p>
        </w:tc>
      </w:tr>
    </w:tbl>
    <w:p>
      <w:pPr>
        <w:pStyle w:val="TextBody"/>
        <w:bidi w:val="0"/>
        <w:spacing w:before="0" w:after="283"/>
        <w:jc w:val="left"/>
        <w:rPr/>
      </w:pPr>
      <w:r>
        <w:rPr/>
        <w:t xml:space="preserve">Shareholders will be able to elect to receive their dividends in US dollars, euros or pounds sterling. </w:t>
      </w:r>
    </w:p>
    <w:p>
      <w:pPr>
        <w:pStyle w:val="TextBody"/>
        <w:bidi w:val="0"/>
        <w:spacing w:before="0" w:after="283"/>
        <w:jc w:val="left"/>
        <w:rPr/>
      </w:pPr>
      <w:r>
        <w:rPr/>
        <w:t xml:space="preserve">An alternative ‘Electronic Election Entitlement’ (‘EEE’) process is available in CREST for dividends with options elections. </w:t>
      </w:r>
    </w:p>
    <w:p>
      <w:pPr>
        <w:pStyle w:val="TextBody"/>
        <w:bidi w:val="0"/>
        <w:spacing w:before="0" w:after="283"/>
        <w:jc w:val="left"/>
        <w:rPr/>
      </w:pPr>
      <w:r>
        <w:rPr/>
        <w:t>Absent any valid election to the contrary, persons holding their ordinary shares through Euroclear Nederland will receive their dividends in euros.</w:t>
      </w:r>
    </w:p>
    <w:p>
      <w:pPr>
        <w:pStyle w:val="TextBody"/>
        <w:bidi w:val="0"/>
        <w:spacing w:before="0" w:after="283"/>
        <w:jc w:val="left"/>
        <w:rPr/>
      </w:pPr>
      <w:r>
        <w:rPr/>
        <w:t>Absent any valid election to the contrary, shareholders (both holding in certificated and uncertificated form (CREST members)) and persons holding their shares through the Shell Corporate Nominee will receive their dividends in pounds sterling.</w:t>
      </w:r>
    </w:p>
    <w:p>
      <w:pPr>
        <w:pStyle w:val="TextBody"/>
        <w:bidi w:val="0"/>
        <w:spacing w:before="0" w:after="283"/>
        <w:jc w:val="left"/>
        <w:rPr/>
      </w:pPr>
      <w:r>
        <w:rPr/>
        <w:t>The pound sterling and euro equivalent dividend payments will be announced on September 7, 2026.</w:t>
      </w:r>
    </w:p>
    <w:tbl>
      <w:tblPr>
        <w:tblW w:w="2882" w:type="dxa"/>
        <w:jc w:val="left"/>
        <w:tblInd w:w="0" w:type="dxa"/>
        <w:tblLayout w:type="fixed"/>
        <w:tblCellMar>
          <w:top w:w="0" w:type="dxa"/>
          <w:left w:w="0" w:type="dxa"/>
          <w:bottom w:w="28" w:type="dxa"/>
          <w:right w:w="0" w:type="dxa"/>
        </w:tblCellMar>
      </w:tblPr>
      <w:tblGrid>
        <w:gridCol w:w="1891"/>
        <w:gridCol w:w="991"/>
      </w:tblGrid>
      <w:tr>
        <w:trPr/>
        <w:tc>
          <w:tcPr>
            <w:tcW w:w="1891" w:type="dxa"/>
            <w:tcBorders>
              <w:bottom w:val="single" w:sz="8" w:space="0" w:color="000000"/>
            </w:tcBorders>
            <w:vAlign w:val="center"/>
          </w:tcPr>
          <w:p>
            <w:pPr>
              <w:pStyle w:val="TableContents"/>
              <w:bidi w:val="0"/>
              <w:spacing w:before="0" w:after="283"/>
              <w:jc w:val="left"/>
              <w:rPr/>
            </w:pPr>
            <w:r>
              <w:rPr>
                <w:b/>
              </w:rPr>
              <w:t>Per ADS</w:t>
            </w:r>
            <w:r>
              <w:rPr/>
              <w:br/>
              <w:t>(US7802593050)</w:t>
            </w:r>
          </w:p>
        </w:tc>
        <w:tc>
          <w:tcPr>
            <w:tcW w:w="991" w:type="dxa"/>
            <w:tcBorders>
              <w:bottom w:val="single" w:sz="8" w:space="0" w:color="000000"/>
            </w:tcBorders>
            <w:vAlign w:val="center"/>
          </w:tcPr>
          <w:p>
            <w:pPr>
              <w:pStyle w:val="TableContents"/>
              <w:bidi w:val="0"/>
              <w:spacing w:before="0" w:after="283"/>
              <w:jc w:val="left"/>
              <w:rPr>
                <w:b/>
              </w:rPr>
            </w:pPr>
            <w:r>
              <w:rPr>
                <w:b/>
              </w:rPr>
              <w:t>Q2 2026</w:t>
            </w:r>
          </w:p>
        </w:tc>
      </w:tr>
      <w:tr>
        <w:trPr/>
        <w:tc>
          <w:tcPr>
            <w:tcW w:w="1891" w:type="dxa"/>
            <w:tcBorders>
              <w:bottom w:val="single" w:sz="8" w:space="0" w:color="000000"/>
            </w:tcBorders>
            <w:vAlign w:val="center"/>
          </w:tcPr>
          <w:p>
            <w:pPr>
              <w:pStyle w:val="TableContents"/>
              <w:bidi w:val="0"/>
              <w:spacing w:before="0" w:after="283"/>
              <w:jc w:val="left"/>
              <w:rPr/>
            </w:pPr>
            <w:r>
              <w:rPr/>
              <w:t>Shell ADSs (US$)</w:t>
            </w:r>
          </w:p>
        </w:tc>
        <w:tc>
          <w:tcPr>
            <w:tcW w:w="991" w:type="dxa"/>
            <w:tcBorders>
              <w:bottom w:val="single" w:sz="8" w:space="0" w:color="000000"/>
            </w:tcBorders>
            <w:vAlign w:val="center"/>
          </w:tcPr>
          <w:p>
            <w:pPr>
              <w:pStyle w:val="TableContents"/>
              <w:bidi w:val="0"/>
              <w:spacing w:before="0" w:after="283"/>
              <w:jc w:val="left"/>
              <w:rPr/>
            </w:pPr>
            <w:r>
              <w:rPr/>
              <w:t>0.7812</w:t>
            </w:r>
          </w:p>
        </w:tc>
      </w:tr>
    </w:tbl>
    <w:p>
      <w:pPr>
        <w:pStyle w:val="TextBody"/>
        <w:bidi w:val="0"/>
        <w:spacing w:before="0" w:after="283"/>
        <w:jc w:val="left"/>
        <w:rPr/>
      </w:pPr>
      <w:r>
        <w:rPr/>
        <w:t>Cash dividends on American Depositary Shares (“ADSs”) will be paid, by default, in US dollars.</w:t>
      </w:r>
    </w:p>
    <w:p>
      <w:pPr>
        <w:pStyle w:val="TextBody"/>
        <w:bidi w:val="0"/>
        <w:spacing w:before="0" w:after="283"/>
        <w:jc w:val="left"/>
        <w:rPr/>
      </w:pPr>
      <w:r>
        <w:rPr/>
        <w:t>Each ADS represents two ordinary shares. ADSs are evidenced by an American Depositary Receipt (“ADR”) certificate. In many cases the terms ADR and ADS are used interchangeably.</w:t>
      </w:r>
    </w:p>
    <w:p>
      <w:pPr>
        <w:pStyle w:val="TextBody"/>
        <w:bidi w:val="0"/>
        <w:jc w:val="left"/>
        <w:rPr>
          <w:b/>
        </w:rPr>
      </w:pPr>
      <w:r>
        <w:rPr>
          <w:b/>
        </w:rPr>
        <w:t>Dividend timetable for the second quarter 2026 interim dividend</w:t>
      </w:r>
    </w:p>
    <w:tbl>
      <w:tblPr>
        <w:tblW w:w="7442" w:type="dxa"/>
        <w:jc w:val="left"/>
        <w:tblInd w:w="0" w:type="dxa"/>
        <w:tblLayout w:type="fixed"/>
        <w:tblCellMar>
          <w:top w:w="0" w:type="dxa"/>
          <w:left w:w="0" w:type="dxa"/>
          <w:bottom w:w="28" w:type="dxa"/>
          <w:right w:w="0" w:type="dxa"/>
        </w:tblCellMar>
      </w:tblPr>
      <w:tblGrid>
        <w:gridCol w:w="5386"/>
        <w:gridCol w:w="2056"/>
      </w:tblGrid>
      <w:tr>
        <w:trPr/>
        <w:tc>
          <w:tcPr>
            <w:tcW w:w="5386" w:type="dxa"/>
            <w:tcBorders>
              <w:bottom w:val="single" w:sz="8" w:space="0" w:color="000000"/>
            </w:tcBorders>
            <w:vAlign w:val="center"/>
          </w:tcPr>
          <w:p>
            <w:pPr>
              <w:pStyle w:val="TableContents"/>
              <w:bidi w:val="0"/>
              <w:spacing w:before="0" w:after="283"/>
              <w:jc w:val="left"/>
              <w:rPr>
                <w:b/>
              </w:rPr>
            </w:pPr>
            <w:r>
              <w:rPr>
                <w:b/>
              </w:rPr>
              <w:t>Event</w:t>
            </w:r>
          </w:p>
        </w:tc>
        <w:tc>
          <w:tcPr>
            <w:tcW w:w="2056" w:type="dxa"/>
            <w:tcBorders>
              <w:bottom w:val="single" w:sz="8" w:space="0" w:color="000000"/>
            </w:tcBorders>
            <w:vAlign w:val="center"/>
          </w:tcPr>
          <w:p>
            <w:pPr>
              <w:pStyle w:val="TableContents"/>
              <w:bidi w:val="0"/>
              <w:spacing w:before="0" w:after="283"/>
              <w:jc w:val="left"/>
              <w:rPr>
                <w:b/>
              </w:rPr>
            </w:pPr>
            <w:r>
              <w:rPr>
                <w:b/>
              </w:rPr>
              <w:t>Date</w:t>
            </w:r>
          </w:p>
        </w:tc>
      </w:tr>
      <w:tr>
        <w:trPr/>
        <w:tc>
          <w:tcPr>
            <w:tcW w:w="5386" w:type="dxa"/>
            <w:tcBorders>
              <w:bottom w:val="single" w:sz="8" w:space="0" w:color="000000"/>
            </w:tcBorders>
            <w:vAlign w:val="center"/>
          </w:tcPr>
          <w:p>
            <w:pPr>
              <w:pStyle w:val="TableContents"/>
              <w:bidi w:val="0"/>
              <w:spacing w:before="0" w:after="283"/>
              <w:jc w:val="left"/>
              <w:rPr/>
            </w:pPr>
            <w:r>
              <w:rPr/>
              <w:t>Announcement date</w:t>
            </w:r>
          </w:p>
        </w:tc>
        <w:tc>
          <w:tcPr>
            <w:tcW w:w="2056" w:type="dxa"/>
            <w:tcBorders>
              <w:bottom w:val="single" w:sz="8" w:space="0" w:color="000000"/>
            </w:tcBorders>
            <w:vAlign w:val="center"/>
          </w:tcPr>
          <w:p>
            <w:pPr>
              <w:pStyle w:val="TableContents"/>
              <w:bidi w:val="0"/>
              <w:spacing w:before="0" w:after="283"/>
              <w:jc w:val="left"/>
              <w:rPr/>
            </w:pPr>
            <w:r>
              <w:rPr/>
              <w:t>July 30, 2026</w:t>
            </w:r>
          </w:p>
        </w:tc>
      </w:tr>
      <w:tr>
        <w:trPr/>
        <w:tc>
          <w:tcPr>
            <w:tcW w:w="5386" w:type="dxa"/>
            <w:tcBorders>
              <w:bottom w:val="single" w:sz="8" w:space="0" w:color="000000"/>
            </w:tcBorders>
            <w:vAlign w:val="center"/>
          </w:tcPr>
          <w:p>
            <w:pPr>
              <w:pStyle w:val="TableContents"/>
              <w:bidi w:val="0"/>
              <w:spacing w:before="0" w:after="283"/>
              <w:jc w:val="left"/>
              <w:rPr/>
            </w:pPr>
            <w:r>
              <w:rPr/>
              <w:t>Ex- Dividend Date for ADSs</w:t>
            </w:r>
          </w:p>
        </w:tc>
        <w:tc>
          <w:tcPr>
            <w:tcW w:w="2056" w:type="dxa"/>
            <w:tcBorders>
              <w:bottom w:val="single" w:sz="8" w:space="0" w:color="000000"/>
            </w:tcBorders>
            <w:vAlign w:val="center"/>
          </w:tcPr>
          <w:p>
            <w:pPr>
              <w:pStyle w:val="TableContents"/>
              <w:bidi w:val="0"/>
              <w:spacing w:before="0" w:after="283"/>
              <w:jc w:val="left"/>
              <w:rPr/>
            </w:pPr>
            <w:r>
              <w:rPr/>
              <w:t>August 14, 2026</w:t>
            </w:r>
          </w:p>
        </w:tc>
      </w:tr>
      <w:tr>
        <w:trPr/>
        <w:tc>
          <w:tcPr>
            <w:tcW w:w="5386" w:type="dxa"/>
            <w:tcBorders>
              <w:bottom w:val="single" w:sz="8" w:space="0" w:color="000000"/>
            </w:tcBorders>
            <w:vAlign w:val="center"/>
          </w:tcPr>
          <w:p>
            <w:pPr>
              <w:pStyle w:val="TableContents"/>
              <w:bidi w:val="0"/>
              <w:spacing w:before="0" w:after="283"/>
              <w:jc w:val="left"/>
              <w:rPr/>
            </w:pPr>
            <w:r>
              <w:rPr/>
              <w:t>Ex- Dividend Date for ordinary shares</w:t>
            </w:r>
          </w:p>
        </w:tc>
        <w:tc>
          <w:tcPr>
            <w:tcW w:w="2056" w:type="dxa"/>
            <w:tcBorders>
              <w:bottom w:val="single" w:sz="8" w:space="0" w:color="000000"/>
            </w:tcBorders>
            <w:vAlign w:val="center"/>
          </w:tcPr>
          <w:p>
            <w:pPr>
              <w:pStyle w:val="TableContents"/>
              <w:bidi w:val="0"/>
              <w:spacing w:before="0" w:after="283"/>
              <w:jc w:val="left"/>
              <w:rPr/>
            </w:pPr>
            <w:r>
              <w:rPr/>
              <w:t>August 13, 2026</w:t>
            </w:r>
          </w:p>
        </w:tc>
      </w:tr>
      <w:tr>
        <w:trPr/>
        <w:tc>
          <w:tcPr>
            <w:tcW w:w="5386" w:type="dxa"/>
            <w:tcBorders>
              <w:bottom w:val="single" w:sz="8" w:space="0" w:color="000000"/>
            </w:tcBorders>
            <w:vAlign w:val="center"/>
          </w:tcPr>
          <w:p>
            <w:pPr>
              <w:pStyle w:val="TableContents"/>
              <w:bidi w:val="0"/>
              <w:spacing w:before="0" w:after="283"/>
              <w:jc w:val="left"/>
              <w:rPr/>
            </w:pPr>
            <w:r>
              <w:rPr/>
              <w:t>Record date</w:t>
            </w:r>
          </w:p>
        </w:tc>
        <w:tc>
          <w:tcPr>
            <w:tcW w:w="2056" w:type="dxa"/>
            <w:tcBorders>
              <w:bottom w:val="single" w:sz="8" w:space="0" w:color="000000"/>
            </w:tcBorders>
            <w:vAlign w:val="center"/>
          </w:tcPr>
          <w:p>
            <w:pPr>
              <w:pStyle w:val="TableContents"/>
              <w:bidi w:val="0"/>
              <w:spacing w:before="0" w:after="283"/>
              <w:jc w:val="left"/>
              <w:rPr/>
            </w:pPr>
            <w:r>
              <w:rPr/>
              <w:t>August 14, 2026</w:t>
            </w:r>
          </w:p>
        </w:tc>
      </w:tr>
      <w:tr>
        <w:trPr/>
        <w:tc>
          <w:tcPr>
            <w:tcW w:w="5386" w:type="dxa"/>
            <w:tcBorders>
              <w:bottom w:val="single" w:sz="8" w:space="0" w:color="000000"/>
            </w:tcBorders>
            <w:vAlign w:val="center"/>
          </w:tcPr>
          <w:p>
            <w:pPr>
              <w:pStyle w:val="TableContents"/>
              <w:bidi w:val="0"/>
              <w:spacing w:before="0" w:after="283"/>
              <w:jc w:val="left"/>
              <w:rPr/>
            </w:pPr>
            <w:r>
              <w:rPr/>
              <w:t>Closing date for currency election (see Note below)</w:t>
            </w:r>
          </w:p>
        </w:tc>
        <w:tc>
          <w:tcPr>
            <w:tcW w:w="2056" w:type="dxa"/>
            <w:tcBorders>
              <w:bottom w:val="single" w:sz="8" w:space="0" w:color="000000"/>
            </w:tcBorders>
            <w:vAlign w:val="center"/>
          </w:tcPr>
          <w:p>
            <w:pPr>
              <w:pStyle w:val="TableContents"/>
              <w:bidi w:val="0"/>
              <w:spacing w:before="0" w:after="283"/>
              <w:jc w:val="left"/>
              <w:rPr/>
            </w:pPr>
            <w:r>
              <w:rPr/>
              <w:t>August 28, 2026</w:t>
            </w:r>
          </w:p>
        </w:tc>
      </w:tr>
      <w:tr>
        <w:trPr/>
        <w:tc>
          <w:tcPr>
            <w:tcW w:w="5386" w:type="dxa"/>
            <w:tcBorders>
              <w:bottom w:val="single" w:sz="8" w:space="0" w:color="000000"/>
            </w:tcBorders>
            <w:vAlign w:val="center"/>
          </w:tcPr>
          <w:p>
            <w:pPr>
              <w:pStyle w:val="TableContents"/>
              <w:bidi w:val="0"/>
              <w:spacing w:before="0" w:after="283"/>
              <w:jc w:val="left"/>
              <w:rPr/>
            </w:pPr>
            <w:r>
              <w:rPr/>
              <w:t>Pound sterling and euro equivalents announcement date</w:t>
            </w:r>
          </w:p>
        </w:tc>
        <w:tc>
          <w:tcPr>
            <w:tcW w:w="2056" w:type="dxa"/>
            <w:tcBorders>
              <w:bottom w:val="single" w:sz="8" w:space="0" w:color="000000"/>
            </w:tcBorders>
            <w:vAlign w:val="center"/>
          </w:tcPr>
          <w:p>
            <w:pPr>
              <w:pStyle w:val="TableContents"/>
              <w:bidi w:val="0"/>
              <w:spacing w:before="0" w:after="283"/>
              <w:jc w:val="left"/>
              <w:rPr/>
            </w:pPr>
            <w:r>
              <w:rPr/>
              <w:t>September 7, 2026</w:t>
            </w:r>
          </w:p>
        </w:tc>
      </w:tr>
      <w:tr>
        <w:trPr/>
        <w:tc>
          <w:tcPr>
            <w:tcW w:w="5386" w:type="dxa"/>
            <w:tcBorders>
              <w:bottom w:val="single" w:sz="8" w:space="0" w:color="000000"/>
            </w:tcBorders>
            <w:vAlign w:val="center"/>
          </w:tcPr>
          <w:p>
            <w:pPr>
              <w:pStyle w:val="TableContents"/>
              <w:bidi w:val="0"/>
              <w:spacing w:before="0" w:after="283"/>
              <w:jc w:val="left"/>
              <w:rPr/>
            </w:pPr>
            <w:r>
              <w:rPr/>
              <w:t>Payment date</w:t>
            </w:r>
          </w:p>
        </w:tc>
        <w:tc>
          <w:tcPr>
            <w:tcW w:w="2056" w:type="dxa"/>
            <w:tcBorders>
              <w:bottom w:val="single" w:sz="8" w:space="0" w:color="000000"/>
            </w:tcBorders>
            <w:vAlign w:val="center"/>
          </w:tcPr>
          <w:p>
            <w:pPr>
              <w:pStyle w:val="TableContents"/>
              <w:bidi w:val="0"/>
              <w:spacing w:before="0" w:after="283"/>
              <w:jc w:val="left"/>
              <w:rPr/>
            </w:pPr>
            <w:r>
              <w:rPr/>
              <w:t>September 21, 2026</w:t>
            </w:r>
          </w:p>
        </w:tc>
      </w:tr>
    </w:tbl>
    <w:p>
      <w:pPr>
        <w:pStyle w:val="TextBody"/>
        <w:bidi w:val="0"/>
        <w:jc w:val="left"/>
        <w:rPr>
          <w:b/>
        </w:rPr>
      </w:pPr>
      <w:r>
        <w:rPr>
          <w:b/>
        </w:rPr>
        <w:t>Note</w:t>
      </w:r>
    </w:p>
    <w:p>
      <w:pPr>
        <w:pStyle w:val="TextBody"/>
        <w:bidi w:val="0"/>
        <w:spacing w:before="0" w:after="283"/>
        <w:jc w:val="left"/>
        <w:rPr/>
      </w:pPr>
      <w:r>
        <w:rPr/>
        <w:t xml:space="preserve">The closing time for the dividend currency election is </w:t>
      </w:r>
      <w:r>
        <w:rPr>
          <w:b/>
        </w:rPr>
        <w:t>11:00am</w:t>
      </w:r>
      <w:r>
        <w:rPr/>
        <w:t xml:space="preserve"> GMT on August 28, 2026. A different currency election date / time may apply to shareholders holding shares in a securities account with a bank or financial institution ultimately holding through Euroclear Nederland. This may also apply to other shareholders who do not hold their shares either directly on the Register of Members or in the corporate sponsored nominee arrangement. Shareholders can contact their broker, financial intermediary, bank or financial institution for the election deadline that applies.</w:t>
      </w:r>
    </w:p>
    <w:p>
      <w:pPr>
        <w:pStyle w:val="TextBody"/>
        <w:bidi w:val="0"/>
        <w:jc w:val="left"/>
        <w:rPr>
          <w:b/>
        </w:rPr>
      </w:pPr>
      <w:r>
        <w:rPr>
          <w:b/>
        </w:rPr>
        <w:t>Taxation - cash dividends</w:t>
      </w:r>
    </w:p>
    <w:p>
      <w:pPr>
        <w:pStyle w:val="TextBody"/>
        <w:bidi w:val="0"/>
        <w:spacing w:before="0" w:after="283"/>
        <w:jc w:val="left"/>
        <w:rPr/>
      </w:pPr>
      <w:r>
        <w:rPr/>
        <w:t xml:space="preserve">If you are uncertain as to the tax treatment of any dividends you should consult your tax advisor. </w:t>
      </w:r>
    </w:p>
    <w:p>
      <w:pPr>
        <w:pStyle w:val="TextBody"/>
        <w:bidi w:val="0"/>
        <w:jc w:val="left"/>
        <w:rPr>
          <w:b/>
        </w:rPr>
      </w:pPr>
      <w:r>
        <w:rPr>
          <w:b/>
        </w:rPr>
        <w:t>Dividend Reinvestment Programmes (“DRIP”)</w:t>
      </w:r>
    </w:p>
    <w:p>
      <w:pPr>
        <w:pStyle w:val="TextBody"/>
        <w:bidi w:val="0"/>
        <w:spacing w:before="0" w:after="283"/>
        <w:jc w:val="left"/>
        <w:rPr/>
      </w:pPr>
      <w:r>
        <w:rPr/>
        <w:t xml:space="preserve">The following organisations offer Dividend Reinvestment Plans (“DRIPs”) which enable the Company’s shareholders to elect to have their dividend payments used to purchase the Company’s shares: </w:t>
      </w:r>
    </w:p>
    <w:p>
      <w:pPr>
        <w:pStyle w:val="TextBody"/>
        <w:numPr>
          <w:ilvl w:val="0"/>
          <w:numId w:val="2"/>
        </w:numPr>
        <w:tabs>
          <w:tab w:val="clear" w:pos="1134"/>
          <w:tab w:val="left" w:pos="709" w:leader="none"/>
        </w:tabs>
        <w:bidi w:val="0"/>
        <w:ind w:left="709" w:hanging="283"/>
        <w:jc w:val="left"/>
        <w:rPr/>
      </w:pPr>
      <w:r>
        <w:rPr/>
        <w:t>Equiniti Financial Services Limited (“EFSL”), for those holding shares (a) directly on the register as certificate holder or as CREST Member and (b) via the Shell Corporate Nominee;</w:t>
      </w:r>
    </w:p>
    <w:p>
      <w:pPr>
        <w:pStyle w:val="TextBody"/>
        <w:numPr>
          <w:ilvl w:val="0"/>
          <w:numId w:val="3"/>
        </w:numPr>
        <w:tabs>
          <w:tab w:val="clear" w:pos="1134"/>
          <w:tab w:val="left" w:pos="709" w:leader="none"/>
        </w:tabs>
        <w:bidi w:val="0"/>
        <w:ind w:left="709" w:hanging="283"/>
        <w:jc w:val="left"/>
        <w:rPr/>
      </w:pPr>
      <w:r>
        <w:rPr/>
        <w:t>ABN-AMRO NV (“ABN”) for Financial Intermediaries holding shares via Euroclear Nederland;</w:t>
      </w:r>
    </w:p>
    <w:p>
      <w:pPr>
        <w:pStyle w:val="TextBody"/>
        <w:numPr>
          <w:ilvl w:val="0"/>
          <w:numId w:val="4"/>
        </w:numPr>
        <w:tabs>
          <w:tab w:val="clear" w:pos="1134"/>
          <w:tab w:val="left" w:pos="709" w:leader="none"/>
        </w:tabs>
        <w:bidi w:val="0"/>
        <w:ind w:left="709" w:hanging="283"/>
        <w:jc w:val="left"/>
        <w:rPr/>
      </w:pPr>
      <w:r>
        <w:rPr/>
        <w:t>JPMorgan Chase Bank, N.A. (“JPM”) for holders of ADSs; and</w:t>
      </w:r>
    </w:p>
    <w:p>
      <w:pPr>
        <w:pStyle w:val="TextBody"/>
        <w:numPr>
          <w:ilvl w:val="0"/>
          <w:numId w:val="5"/>
        </w:numPr>
        <w:tabs>
          <w:tab w:val="clear" w:pos="1134"/>
          <w:tab w:val="left" w:pos="709" w:leader="none"/>
        </w:tabs>
        <w:bidi w:val="0"/>
        <w:ind w:left="709" w:hanging="283"/>
        <w:jc w:val="left"/>
        <w:rPr/>
      </w:pPr>
      <w:r>
        <w:rPr/>
        <w:t>Other DRIPs may also be available from the intermediary through which investors hold their shares and ADSs.</w:t>
      </w:r>
    </w:p>
    <w:p>
      <w:pPr>
        <w:pStyle w:val="TextBody"/>
        <w:bidi w:val="0"/>
        <w:spacing w:before="0" w:after="283"/>
        <w:jc w:val="left"/>
        <w:rPr/>
      </w:pPr>
      <w:r>
        <w:rPr/>
        <w:t>These DRIP offerors provide their DRIPs fully on their account and not on behalf of the Company. Interested parties should contact the relevant DRIP offeror directly.</w:t>
      </w:r>
    </w:p>
    <w:p>
      <w:pPr>
        <w:pStyle w:val="TextBody"/>
        <w:bidi w:val="0"/>
        <w:spacing w:before="0" w:after="283"/>
        <w:jc w:val="left"/>
        <w:rPr/>
      </w:pPr>
      <w:r>
        <w:rPr/>
        <w:t>More information can be found at https://www.shell.com/drip</w:t>
      </w:r>
    </w:p>
    <w:p>
      <w:pPr>
        <w:pStyle w:val="TextBody"/>
        <w:bidi w:val="0"/>
        <w:spacing w:before="0" w:after="283"/>
        <w:jc w:val="left"/>
        <w:rPr/>
      </w:pPr>
      <w:r>
        <w:rPr/>
        <w:t xml:space="preserve">To be eligible to participate in the DRIPs for the next dividend, shareholders must make a valid dividend reinvestment election before the published date for the close of elections.  </w:t>
      </w:r>
    </w:p>
    <w:p>
      <w:pPr>
        <w:pStyle w:val="TextBody"/>
        <w:bidi w:val="0"/>
        <w:spacing w:before="0" w:after="283"/>
        <w:jc w:val="left"/>
        <w:rPr/>
      </w:pPr>
      <w:r>
        <w:rPr>
          <w:b/>
        </w:rPr>
        <w:t>Enquiries</w:t>
      </w:r>
      <w:r>
        <w:rPr/>
        <w:br/>
      </w:r>
      <w:r>
        <w:rPr>
          <w:b/>
        </w:rPr>
        <w:t xml:space="preserve">Media: </w:t>
      </w:r>
      <w:r>
        <w:rPr/>
        <w:t xml:space="preserve">International +44 (0) 207 934 5550; U.S. and Canada: https://www.shell.us/about-us/news-and-insights/media/submit-an-inquiry.html </w:t>
      </w:r>
    </w:p>
    <w:p>
      <w:pPr>
        <w:pStyle w:val="TextBody"/>
        <w:bidi w:val="0"/>
        <w:jc w:val="both"/>
        <w:rPr>
          <w:b/>
        </w:rPr>
      </w:pPr>
      <w:r>
        <w:rPr>
          <w:b/>
        </w:rPr>
        <w:t>Cautionary Note</w:t>
      </w:r>
    </w:p>
    <w:p>
      <w:pPr>
        <w:pStyle w:val="TextBody"/>
        <w:bidi w:val="0"/>
        <w:jc w:val="both"/>
        <w:rPr/>
      </w:pPr>
      <w:r>
        <w:rPr/>
        <w:t>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w:t>
      </w:r>
    </w:p>
    <w:p>
      <w:pPr>
        <w:pStyle w:val="TextBody"/>
        <w:bidi w:val="0"/>
        <w:jc w:val="both"/>
        <w:rPr>
          <w:b/>
        </w:rPr>
      </w:pPr>
      <w:r>
        <w:rPr>
          <w:b/>
        </w:rPr>
        <w:t>Forward-Looking statements</w:t>
      </w:r>
    </w:p>
    <w:p>
      <w:pPr>
        <w:pStyle w:val="TextBody"/>
        <w:bidi w:val="0"/>
        <w:jc w:val="both"/>
        <w:rPr/>
      </w:pPr>
      <w:r>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July 30,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pStyle w:val="TextBody"/>
        <w:bidi w:val="0"/>
        <w:jc w:val="both"/>
        <w:rPr>
          <w:b/>
        </w:rPr>
      </w:pPr>
      <w:r>
        <w:rPr>
          <w:b/>
        </w:rPr>
        <w:t>Shell’s net carbon intensity</w:t>
      </w:r>
    </w:p>
    <w:p>
      <w:pPr>
        <w:pStyle w:val="TextBody"/>
        <w:bidi w:val="0"/>
        <w:jc w:val="both"/>
        <w:rPr/>
      </w:pPr>
      <w:r>
        <w:rPr/>
        <w:t>Also, 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pStyle w:val="TextBody"/>
        <w:bidi w:val="0"/>
        <w:jc w:val="both"/>
        <w:rPr>
          <w:b/>
        </w:rPr>
      </w:pPr>
      <w:r>
        <w:rPr>
          <w:b/>
        </w:rPr>
        <w:t>Shell’s net-zero emissions target</w:t>
      </w:r>
    </w:p>
    <w:p>
      <w:pPr>
        <w:pStyle w:val="TextBody"/>
        <w:bidi w:val="0"/>
        <w:jc w:val="both"/>
        <w:rPr/>
      </w:pPr>
      <w:r>
        <w:rPr/>
        <w:t>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w:t>
      </w:r>
    </w:p>
    <w:p>
      <w:pPr>
        <w:pStyle w:val="TextBody"/>
        <w:bidi w:val="0"/>
        <w:jc w:val="both"/>
        <w:rPr>
          <w:b/>
        </w:rPr>
      </w:pPr>
      <w:r>
        <w:rPr>
          <w:b/>
        </w:rPr>
        <w:t>Forward-Looking non-GAAP measures</w:t>
      </w:r>
    </w:p>
    <w:p>
      <w:pPr>
        <w:pStyle w:val="TextBody"/>
        <w:bidi w:val="0"/>
        <w:jc w:val="both"/>
        <w:rPr/>
      </w:pPr>
      <w:r>
        <w:rPr/>
        <w:t>This announcement may contain certain forward-looking non-GAAP measures such as free cash flow and underlying operating expenses.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pStyle w:val="TextBody"/>
        <w:bidi w:val="0"/>
        <w:jc w:val="both"/>
        <w:rPr/>
      </w:pPr>
      <w:r>
        <w:rPr/>
        <w:t>The contents of websites referred to in this announcement do not form part of this announcement.</w:t>
      </w:r>
    </w:p>
    <w:p>
      <w:pPr>
        <w:pStyle w:val="TextBody"/>
        <w:bidi w:val="0"/>
        <w:jc w:val="both"/>
        <w:rPr/>
      </w:pPr>
      <w:r>
        <w:rPr/>
        <w:t>We may have used certain terms, such as resources, in this announcement that the United States Securities and Exchange Commission (SEC) strictly prohibits us from including in our filings with the SEC.  Investors are urged to consider closely the disclosure in our Form 20-F, File No 1-32575, available on the SEC website www.sec.gov.</w:t>
      </w:r>
    </w:p>
    <w:p>
      <w:pPr>
        <w:pStyle w:val="TextBody"/>
        <w:bidi w:val="0"/>
        <w:jc w:val="right"/>
        <w:rPr/>
      </w:pPr>
      <w:bookmarkStart w:id="4" w:name="exh_992.htm"/>
      <w:bookmarkStart w:id="5" w:name="ksexh_992"/>
      <w:bookmarkEnd w:id="4"/>
      <w:bookmarkEnd w:id="5"/>
      <w:r>
        <w:rPr>
          <w:rStyle w:val="StrongEmphasis"/>
        </w:rPr>
        <w:t>EXHIBIT 99.2</w:t>
      </w:r>
      <w:r>
        <w:br w:type="page"/>
      </w:r>
    </w:p>
    <w:p>
      <w:pPr>
        <w:pStyle w:val="TextBody"/>
        <w:bidi w:val="0"/>
        <w:jc w:val="center"/>
        <w:rPr/>
      </w:pPr>
      <w:r>
        <w:rPr>
          <w:rStyle w:val="StrongEmphasis"/>
        </w:rPr>
        <w:t>Shell announces commencement of a share buyback programme</w:t>
      </w:r>
    </w:p>
    <w:p>
      <w:pPr>
        <w:pStyle w:val="TextBody"/>
        <w:bidi w:val="0"/>
        <w:jc w:val="both"/>
        <w:rPr>
          <w:b/>
        </w:rPr>
      </w:pPr>
      <w:r>
        <w:rPr>
          <w:b/>
        </w:rPr>
        <w:t>Shell plc   </w:t>
      </w:r>
    </w:p>
    <w:p>
      <w:pPr>
        <w:pStyle w:val="TextBody"/>
        <w:bidi w:val="0"/>
        <w:jc w:val="both"/>
        <w:rPr>
          <w:b/>
        </w:rPr>
      </w:pPr>
      <w:r>
        <w:rPr>
          <w:b/>
        </w:rPr>
        <w:t xml:space="preserve">Shell announces commencement of a share buyback programme </w:t>
      </w:r>
    </w:p>
    <w:p>
      <w:pPr>
        <w:pStyle w:val="TextBody"/>
        <w:bidi w:val="0"/>
        <w:jc w:val="both"/>
        <w:rPr/>
      </w:pPr>
      <w:r>
        <w:rPr/>
        <w:t>July 30, 2026</w:t>
      </w:r>
    </w:p>
    <w:p>
      <w:pPr>
        <w:pStyle w:val="TextBody"/>
        <w:bidi w:val="0"/>
        <w:jc w:val="both"/>
        <w:rPr/>
      </w:pPr>
      <w:r>
        <w:rPr/>
        <w:t>Shell plc (the ‘Company’) today announces the commencement of a share buyback programme covering an aggregate contract term of approximately three months (the ‘programme’). As part of the programme, $3.000 billion of new share buybacks, plus $1.232 billion of share buybacks that were not undertaken during the Company’s previous share buyback programme</w:t>
      </w:r>
      <w:r>
        <w:rPr>
          <w:position w:val="8"/>
          <w:sz w:val="19"/>
        </w:rPr>
        <w:t>1</w:t>
      </w:r>
      <w:r>
        <w:rPr/>
        <w:t xml:space="preserve"> due to the announced suspension of such programme in connection with the Company’s agreement to acquire ARC Resources Ltd (‘ARC’), will be executed. The purpose of the programme is to reduce the issued share capital of the Company. All shares repurchased as part of the programme will be cancelled. It is intended that, subject to market conditions, the programme will be completed prior to the Company’s Q3 2026 results announcement.</w:t>
      </w:r>
    </w:p>
    <w:p>
      <w:pPr>
        <w:pStyle w:val="TextBody"/>
        <w:bidi w:val="0"/>
        <w:jc w:val="both"/>
        <w:rPr/>
      </w:pPr>
      <w:r>
        <w:rPr/>
        <w:t>The Company has entered into an arrangement with a single broker consisting of two non-discretionary contracts, to enable the purchase of ordinary shares on both London market exchanges (the London Stock Exchange and/or on BATS and/or on Chi-X) (pursuant to one ‘London contract’) and Netherlands exchanges (Euronext Amsterdam and/or on CBOE Europe DXE and/or on Turquoise Europe) (pursuant to one ‘Netherlands contract’) for a period up to and including October 23, 2026. The aggregate maximum consideration for the purchase of ordinary shares under the London contract is $2.821 billion and the maximum consideration for the purchase of ordinary shares under the Netherlands contract is $1.411 billion. Purchases under the London contract will be carried out in accordance with the Company’s authority to repurchase shares on-market and will be effected within certain contractually agreed parameters. Purchases under the Netherlands contract will be carried out in accordance with the Company’s authority to repurchase shares off-market pursuant to the off-market share buyback contract approved by its shareholders and the parameters set out therein.</w:t>
      </w:r>
    </w:p>
    <w:p>
      <w:pPr>
        <w:pStyle w:val="TextBody"/>
        <w:bidi w:val="0"/>
        <w:jc w:val="both"/>
        <w:rPr/>
      </w:pPr>
      <w:r>
        <w:rPr/>
        <w:t>The maximum number of ordinary shares which may be purchased or committed to be purchased by the Company under the programme (across both contracts) is 565,550,000, which is the maximum number remaining as of the date of this announcement pursuant to the relevant authorities granted by shareholders at the Company's 2026 Annual General Meeting.</w:t>
      </w:r>
    </w:p>
    <w:p>
      <w:pPr>
        <w:pStyle w:val="TextBody"/>
        <w:bidi w:val="0"/>
        <w:jc w:val="both"/>
        <w:rPr/>
      </w:pPr>
      <w:r>
        <w:rPr/>
        <w:t>The broker will make its trading decisions in relation to the Company's securities independently of the Company.</w:t>
      </w:r>
    </w:p>
    <w:p>
      <w:pPr>
        <w:pStyle w:val="TextBody"/>
        <w:bidi w:val="0"/>
        <w:jc w:val="both"/>
        <w:rPr/>
      </w:pPr>
      <w:r>
        <w:rPr/>
        <w:t>The programme will be conducted in accordance with Chapter 9 of the UK Listing Rules, Article 5 of the Market Abuse Regulation 596/2014/EU dealing with buy-back programmes (‘EU MAR’) and EU MAR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including by relevant statutory instruments (including, The Market Abuse (Amendment) (EU Exit) Regulations (SI 2019/310)), from time to time and the Commission Delegated Regulation (EU) 2016/1052 (the ‘EU MAR Delegated Regulation’) and the EU MAR Delegated Regulation as “onshored” into UK law from the end of the Brexit transition period (at 11:00 pm on 31 December 2020) through the European Union (Withdrawal) Act 2018 (as amended by the European Union (Withdrawal Agreement) Act 2020), and as amended, supplemented, restated, novated, substituted or replaced, including by relevant statutory instruments (including, The Market Abuse (Amendment) (EU Exit) Regulations (SI 2019/310)), from time to time.</w:t>
      </w:r>
    </w:p>
    <w:p>
      <w:pPr>
        <w:pStyle w:val="TextBody"/>
        <w:bidi w:val="0"/>
        <w:jc w:val="both"/>
        <w:rPr>
          <w:b/>
        </w:rPr>
      </w:pPr>
      <w:r>
        <w:rPr>
          <w:b/>
        </w:rPr>
        <w:t>Enquiries</w:t>
      </w:r>
    </w:p>
    <w:p>
      <w:pPr>
        <w:pStyle w:val="TextBody"/>
        <w:bidi w:val="0"/>
        <w:jc w:val="both"/>
        <w:rPr/>
      </w:pPr>
      <w:r>
        <w:rPr/>
        <w:t xml:space="preserve">Media: International +44 (0) 207 934 5550; U.S. and Canada: https://www.shell.us/about-us/news-and-insights/media/submit-an-inquiry.html </w:t>
      </w:r>
    </w:p>
    <w:p>
      <w:pPr>
        <w:pStyle w:val="TextBody"/>
        <w:bidi w:val="0"/>
        <w:jc w:val="both"/>
        <w:rPr>
          <w:b/>
        </w:rPr>
      </w:pPr>
      <w:r>
        <w:rPr>
          <w:b/>
        </w:rPr>
        <w:t>Cautionary Note</w:t>
      </w:r>
    </w:p>
    <w:p>
      <w:pPr>
        <w:pStyle w:val="TextBody"/>
        <w:bidi w:val="0"/>
        <w:jc w:val="both"/>
        <w:rPr/>
      </w:pPr>
      <w:r>
        <w:rPr/>
        <w:t xml:space="preserve">The companies in which Shell plc directly and indirectly owns investments are separate legal entities. In this announcement “Shell”, “Shell Group” and “Group” are sometimes used for convenience to reference Shell plc and its subsidiaries in general. Likewise, the words “we”, “us” and “our” are also used to refer to Shell plc and its subsidiaries in general or to those who work for them. These terms are also used where no useful purpose is served by identifying the particular entity or entities. ‘‘Subsidiaries’’, “Shell subsidiaries” and “Shell companies” as used in this announcement refer to entities over which Shell plc either directly or indirectly has control. The terms “joint venture”, “joint operations”, “joint arrangements”, and “associates” may also be used to refer to a commercial arrangement in which Shell has a direct or indirect ownership interest with one or more parties.  The term “Shell interest” is used for convenience to indicate the direct and/or indirect ownership interest held by Shell in an entity or unincorporated joint arrangement, after exclusion of all third-party interest. </w:t>
      </w:r>
    </w:p>
    <w:p>
      <w:pPr>
        <w:pStyle w:val="TextBody"/>
        <w:bidi w:val="0"/>
        <w:jc w:val="both"/>
        <w:rPr>
          <w:b/>
          <w:u w:val="single"/>
        </w:rPr>
      </w:pPr>
      <w:r>
        <w:rPr>
          <w:b/>
          <w:u w:val="single"/>
        </w:rPr>
        <w:t>Forward-Looking statements</w:t>
      </w:r>
    </w:p>
    <w:p>
      <w:pPr>
        <w:pStyle w:val="TextBody"/>
        <w:bidi w:val="0"/>
        <w:jc w:val="both"/>
        <w:rPr/>
      </w:pPr>
      <w:r>
        <w:rPr/>
        <w:t>This announcement contains forward-looking statements (within the meaning of the U.S. Private Securities Litigation Reform Act of 1995) concerning the financial condition, results of operations and businesses of Shell. All statements other than statements of historical fact are, or may be deemed to be, forward-looking statements. Forward-looking statements are statements of future expectations that are based on management’s current expectations and assumptions and involve known and unknown risks and uncertainties that could cause actual results, performance or events to differ materially from those expressed or implied in these statements. Forward-looking statements include, among other things, statements concerning the potential exposure of Shell to market risks and statements expressing management’s expectations, beliefs, estimates, forecasts, projections and assumptions. These forward-looking statements are identified by their use of terms and phrases such as “aim”; “ambition”; ‘‘anticipate’’; “aspire”; “aspiration”; ‘‘believe’’; “commit”; “commitment”; ‘‘could’’; “desire”; ‘‘estimate’’; ‘‘expect’’; ‘‘goals’’; ‘‘intend’’; ‘‘may’’; “milestones”; ‘‘objectives’’; ‘‘outlook’’; ‘‘plan’’; ‘‘probably’’; ‘‘project’’; ‘‘risks’’; “schedule”; ‘‘seek’’; ‘‘should’’; ‘‘target’’; “vision”; ‘‘will’’; “would” and similar terms and phrases. There are a number of factors that could affect the future operations of Shell and could cause those results to differ materially from those expressed in the forward-looking statements included in this announcement, including (without limitation): (a) price fluctuations in crude oil and natural gas; (b) changes in demand for Shell’s products; (c) currency fluctuations; (d) drilling and production results; (e) reserves estimates; (f) loss of market share and industry competition; (g) environmental and physical risks, including climate change; (h) risks associated with the identification of suitable potential acquisition properties and targets, and successful negotiation and completion of such transactions; (i) the risk of doing business in developing countries and countries subject to international sanctions; (j) legislative, judicial, fiscal and regulatory developments including tariffs and regulatory measures addressing climate change; (k) economic and financial market conditions in various countries and regions; (l) political risks, including the risks of expropriation and renegotiation of the terms of contracts with governmental entities, delays or advancements in the approval of projects and delays in the reimbursement for shared costs; (m) risks associated with the impact of pandemics, regional conflicts, such as the Russia-Ukraine war and the conflict in the Middle East, and a significant cyber security, data privacy or IT incident; (n) the pace of the energy transition; and (o) changes in trading conditions. No assurance is provided that future dividend payments will match or exceed previous dividend payments. All forward-looking statements contained in this announcement are expressly qualified in their entirety by the cautionary statements contained or referred to in this section. Readers should not place undue reliance on forward-looking statements. Additional risk factors that may affect future results are contained in Shell plc’s Form 20-F for the year ended December 31, 2025 (available at www.shell.com/investors/news-and-filings/sec-filings.html and www.sec.gov). These risk factors also expressly qualify all forward-looking statements contained in this announcement and should be considered by the reader.  Each forward-looking statement speaks only as of the date of this announcement, July 30, 2026. Neither Shell plc nor any of its subsidiaries undertake any obligation to publicly update or revise any forward-looking statement as a result of new information, future events or other information. In light of these risks, results could differ materially from those stated, implied or inferred from the forward-looking statements contained in this announcement.</w:t>
      </w:r>
    </w:p>
    <w:p>
      <w:pPr>
        <w:pStyle w:val="TextBody"/>
        <w:bidi w:val="0"/>
        <w:jc w:val="left"/>
        <w:rPr>
          <w:b/>
          <w:u w:val="single"/>
        </w:rPr>
      </w:pPr>
      <w:r>
        <w:rPr>
          <w:b/>
          <w:u w:val="single"/>
        </w:rPr>
        <w:t>Shell’s net carbon intensity</w:t>
      </w:r>
    </w:p>
    <w:p>
      <w:pPr>
        <w:pStyle w:val="TextBody"/>
        <w:bidi w:val="0"/>
        <w:spacing w:before="0" w:after="283"/>
        <w:jc w:val="left"/>
        <w:rPr/>
      </w:pPr>
      <w:r>
        <w:rPr/>
        <w:t>Also, in this announcement we may refer to Shell’s “net carbon intensity” (NCI), which includes Shell’s carbon emissions from the production of our energy products, our suppliers’ carbon emissions in supplying energy for that production and our customers’ carbon emissions associated with their use of the energy products we sell. Shell’s NCI also includes the emissions associated with the production and use of energy products produced by others which Shell purchases for resale. Shell only controls its own emissions. The use of the terms Shell’s “net carbon intensity” or NCI is for convenience only and not intended to suggest these emissions are those of Shell plc or its subsidiaries.</w:t>
      </w:r>
    </w:p>
    <w:p>
      <w:pPr>
        <w:pStyle w:val="TextBody"/>
        <w:bidi w:val="0"/>
        <w:jc w:val="left"/>
        <w:rPr>
          <w:b/>
          <w:u w:val="single"/>
        </w:rPr>
      </w:pPr>
      <w:r>
        <w:rPr>
          <w:b/>
          <w:u w:val="single"/>
        </w:rPr>
        <w:t>Shell’s net-zero emissions target</w:t>
      </w:r>
    </w:p>
    <w:p>
      <w:pPr>
        <w:pStyle w:val="TextBody"/>
        <w:bidi w:val="0"/>
        <w:spacing w:before="0" w:after="283"/>
        <w:jc w:val="left"/>
        <w:rPr/>
      </w:pPr>
      <w:r>
        <w:rPr/>
        <w:t xml:space="preserve">Shell’s operating plan and outlook are forecasted for a three-year period and ten-year period, respectively, and are updated every year. They reflect the current economic environment and what we can reasonably expect to see over the next three and ten years. Accordingly, the outlook reflects our combined Scope 1 and 2 target, NCI target and our oil products ambition over the next ten years. However, Shell’s operating plan and outlook cannot reflect our 2050 net-zero emissions target, as this target is outside our planning period. Such future operating plans and outlooks could include changes to our portfolio, efficiency improvements and the use of carbon capture and storage and carbon credits. In the future, as society moves towards net-zero emissions, we expect Shell’s operating plans and outlooks to reflect this movement. However, if society is not net zero in 2050, as of today, there would be significant risk that Shell may not meet this target. </w:t>
      </w:r>
    </w:p>
    <w:p>
      <w:pPr>
        <w:pStyle w:val="TextBody"/>
        <w:bidi w:val="0"/>
        <w:jc w:val="left"/>
        <w:rPr>
          <w:b/>
          <w:u w:val="single"/>
        </w:rPr>
      </w:pPr>
      <w:r>
        <w:rPr>
          <w:b/>
          <w:u w:val="single"/>
        </w:rPr>
        <w:t>Forward-Looking non-GAAP measures</w:t>
      </w:r>
    </w:p>
    <w:p>
      <w:pPr>
        <w:pStyle w:val="TextBody"/>
        <w:bidi w:val="0"/>
        <w:spacing w:before="0" w:after="283"/>
        <w:jc w:val="left"/>
        <w:rPr/>
      </w:pPr>
      <w:r>
        <w:rPr/>
        <w:t>This announcement may contain certain forward-looking non-GAAP measures such as free cash flow and underlying operating expenses. We are unable to provide a reconciliation of these forward-looking non-GAAP measures to the most comparable GAAP financial measures because certain information needed to reconcile those non-GAAP measures to the most comparable GAAP financial measures is dependent on future events some of which are outside the control of Shell, such as oil and gas prices, interest rates and exchange rates. Moreover, estimating such GAAP measures with the required precision necessary to provide a meaningful reconciliation is extremely difficult and could not be accomplished without unreasonable effort. Non-GAAP measures in respect of future periods which cannot be reconciled to the most comparable GAAP financial measure are calculated in a manner which is consistent with the accounting policies applied in Shell plc’s consolidated financial statements.</w:t>
      </w:r>
    </w:p>
    <w:p>
      <w:pPr>
        <w:pStyle w:val="TextBody"/>
        <w:bidi w:val="0"/>
        <w:spacing w:before="0" w:after="283"/>
        <w:jc w:val="left"/>
        <w:rPr/>
      </w:pPr>
      <w:r>
        <w:rPr/>
        <w:t>The contents of websites referred to in this announcement do not form part of this announcement.</w:t>
      </w:r>
    </w:p>
    <w:p>
      <w:pPr>
        <w:pStyle w:val="TextBody"/>
        <w:bidi w:val="0"/>
        <w:spacing w:before="0" w:after="283"/>
        <w:jc w:val="left"/>
        <w:rPr/>
      </w:pPr>
      <w:r>
        <w:rPr/>
        <w:t>We may have used certain terms, such as resources, in this announcement that the United States Securities and Exchange Commission (SEC) strictly prohibits us from including in our filings with the SEC. Investors are urged to consider closely the disclosure in our Form 20-F, File No 1-32575, available on the SEC website www.sec.gov.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br/>
      </w:r>
      <w:r>
        <w:rPr>
          <w:position w:val="8"/>
          <w:sz w:val="19"/>
        </w:rPr>
        <w:t>1</w:t>
      </w:r>
      <w:r>
        <w:rPr/>
        <w:t xml:space="preserve"> Such programme having been announced by the Company on May 7, 2026, and then (due to securities law requirements that applied to the Company in connection with the publication of ARC’s shareholder circular and subsequent shareholder meeting) suspended from, and including, June 12, 2026 until, and including, market close on July 14, 2026. The programme was completed (with the exception of those share buybacks not undertaken during the suspension period) on July 24, 2026.</w:t>
      </w:r>
    </w:p>
    <w:p>
      <w:pPr>
        <w:pStyle w:val="TextBody"/>
        <w:bidi w:val="0"/>
        <w:spacing w:before="0" w:after="283"/>
        <w:jc w:val="left"/>
        <w:rPr/>
      </w:pPr>
      <w:r>
        <w:rPr/>
        <w:br/>
        <w:b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5">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3853</Words>
  <Characters>22515</Characters>
  <CharactersWithSpaces>26337</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EdgarFiling</dc:title>
</cp:coreProperties>
</file>

<file path=docProps/custom.xml><?xml version="1.0" encoding="utf-8"?>
<Properties xmlns="http://schemas.openxmlformats.org/officeDocument/2006/custom-properties" xmlns:vt="http://schemas.openxmlformats.org/officeDocument/2006/docPropsVTypes"/>
</file>