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43"/>
          <w:szCs w:val="43"/>
          <w:b w:val="1"/>
          <w:bCs w:val="1"/>
          <w:color w:val="auto"/>
        </w:rPr>
        <w:t>Shell plc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1-32575</w:t>
      </w:r>
    </w:p>
    <w:p>
      <w:pPr>
        <w:spacing w:after="0" w:line="3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Shell Centre, London, SE1 7NA, United Kingdom</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Caroline J.M. Omloo, Company Secretary Tel No: 0044-20-7934-1234</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13p-1 under the Securities Exchange Act (17 CFR 240.13p-1) for the reporting period from January 1 to December 31, 2023.</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13q-1 under the Securities Exchange Act (17 CFR 240.13q-1) for the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I – Conflict Minerals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Disclosure for the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1.01     Conflict Minerals Disclosure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1502 of the Dodd Frank Wall Street Reform and Consumer Protection Act defines conflict minerals as cassiterite (tin), columbite-tantalite (tantalum), gold, wolframite (tungsten), or their derivatives (“Conflict Minerals”). In 2023, Shell plc and its subsidiaries (“Shell”) manufactured and sold the following products that contained Conflict Minerals: catalysts, electric vehicle charge points (Ubitricity), EV charging stations (Shell Recharge Solutions (SRS)), charging solutions (SBRS Gmbh), battery storage systems (sonnenBatterie) and EV charging converters (sonnenCharger). Other than the noted products, Shell does not believe any of its other products manufactured and sold in 2023 contained any Conflict Minerals.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Shell’s Relationship with Its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approach to suppliers and contractors is set out in our Shell General Business Principles and Shell Supplier Principles, which outline what we expect from suppliers. These principles cover requirements </w:t>
      </w:r>
      <w:r>
        <w:rPr>
          <w:rFonts w:ascii="Times New Roman" w:cs="Times New Roman" w:eastAsia="Times New Roman" w:hAnsi="Times New Roman"/>
          <w:sz w:val="18"/>
          <w:szCs w:val="18"/>
          <w:color w:val="404040"/>
        </w:rPr>
        <w:t>such</w:t>
      </w:r>
      <w:r>
        <w:rPr>
          <w:rFonts w:ascii="Times New Roman" w:cs="Times New Roman" w:eastAsia="Times New Roman" w:hAnsi="Times New Roman"/>
          <w:sz w:val="18"/>
          <w:szCs w:val="18"/>
          <w:color w:val="auto"/>
        </w:rPr>
        <w:t xml:space="preserve"> as business integrity, health and safety, and human rights.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Shell aims to work with suppliers that behave in an economically, environmentally and socially responsible manner. We seek to develop and strengthen relationships with suppliers who are committed to the principles set out in our Shell General Business Principles and Shell Supplier Principles or to similar standards through their own activities and the management of their own suppliers. Building strong relationships with our contractors and suppliers is essential to delivering new projects and running our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model procurement contracts, suppliers agree to adhere to our general business principles and supplier principles. Suppliers are required to comply with all applicable laws and regulations of the country or countries in which they do business and agree to provide and maintain safe and healthy working conditions for all supplier personnel.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Parts of our supply chain may pose higher risk due to the location and type of goods and services procured. We carry out risk assessments of our supply chain based on the location and type of goods and services procured. For example, for certain locations we use external risk indices to check potential risks in areas such as health and safety, and human rights. For types of goods and services, we identify sectors where there may be higher risks of unethical labour practices for migrant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Reasonable Country of Origin Inquiry (‘RCOI’)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a good faith RCOI with our suppliers regarding the Conflict Minerals contained in the products identified above to determine whether any Conflict Minerals originated in the Democratic Republic of the Congo or an adjoining country (collectively, the “Covered Countries”) and/or may have been from recycled or scrap sources. This inquiry included obtaining from suppliers of the Conflict Minerals certifications regarding the origin of such Conflict Minerals. Supplier responses were reviewed for completeness. Follow-up action with suppliers was conducted where necessary to seek clarification and request resubmission of a certification if the initial certification submitted was incomplete or contained unclear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our Country of Origin Inquiry (RCOI)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RCOI, based on the supplier certifications received, are further detailed below:</w:t>
      </w:r>
    </w:p>
    <w:p>
      <w:pPr>
        <w:spacing w:after="0" w:line="225"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Catalyst: We requested certifications from all two relevant suppliers and received responses from both. On that basis we concluded that the Conflict Minerals contained in those products did not come from the Covered Countries.</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Ubitricity: We requested certifications from all two relevant suppliers and received a response from one. On that basis we concluded that these products contain Conflict Minerals that originated in the Covered Countries.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 charging stations (SRS): We requested certifications from all three relevant suppliers and received responses from two. Based on the supplier certifications received, we concluded that the Conflict Minerals contained in those products did not come from the Covered Countries. We took follow-up actions by repeatedly contacting the non-responding supplier. Given we have not received a response to our inquiry from one of three suppliers, we are unable to determine that its conflict minerals did not originate in Covered Countries.</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SBRS GmbH: We requested certifications from all 25 relevant suppliers. We received responses from 18. Based on the certifications received from certain suppliers, we concluded that these products contain Conflict Minerals that either originated in the Covered Countries or the supplier is unable to determine if the Conflict Minerals originated in the Covered Countries. We took follow-up actions by repeatedly contacting the non-responding suppliers.</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sonnenBatterie and sonnenCharger: sonnen requested certifications from all 76 relevant suppliers of which 75 responded. sonnen took follow-up actions by repeatedly contacting the supplier for which no response had been received. For sonnenBatterie we concluded that these products contain Conflict Minerals that either originated in the Covered Countries or the supplier is unable to determine if the Conflict Minerals originated in the Covered Countries. For sonnenCharger we concluded that the Conflict Minerals contained in those products did not come from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In 2024 we plan to continue raising awareness of Conflict Minerals across our supply chains, driving transparency with suppliers, and managing risks accordingly.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relying on the Updated Statement on the Effect of the Court of Appeals Decision on the Conflict Minerals Rule issued by the Division of Corporation Finance of the Securities and Exchange Commission on April 7, 2017 (the “April 2017 Guidance”). Pursuant to the April 2017 Guidance, we have provided only the disclosure required under paragraphs (a) and (b) of Item 1.01 of Form SD.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Conflict Minerals Disclosure is also available on Shell’s website: http://www.shell.com/sustainability/sustainability-reporting-and-performance-data/conflict- minerals-disclosure.html.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817245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 w:name="page5"/>
    <w:bookmarkEnd w:id="4"/>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Shell plc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1435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1797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Huibert Vigeveno</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May 23, 2024</w:t>
            </w:r>
          </w:p>
        </w:tc>
      </w:tr>
      <w:tr>
        <w:trPr>
          <w:trHeight w:val="191"/>
        </w:trPr>
        <w:tc>
          <w:tcPr>
            <w:tcW w:w="2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Huibert Vigeveno</w:t>
            </w:r>
          </w:p>
        </w:tc>
        <w:tc>
          <w:tcPr>
            <w:tcW w:w="3040" w:type="dxa"/>
            <w:vAlign w:val="bottom"/>
          </w:tcPr>
          <w:p>
            <w:pPr>
              <w:spacing w:after="0"/>
              <w:rPr>
                <w:sz w:val="16"/>
                <w:szCs w:val="16"/>
                <w:color w:val="auto"/>
              </w:rPr>
            </w:pPr>
          </w:p>
        </w:tc>
        <w:tc>
          <w:tcPr>
            <w:tcW w:w="2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Downstream &amp; Renewables</w:t>
            </w:r>
          </w:p>
        </w:tc>
        <w:tc>
          <w:tcPr>
            <w:tcW w:w="2960" w:type="dxa"/>
            <w:vAlign w:val="bottom"/>
          </w:tcPr>
          <w:p>
            <w:pPr>
              <w:spacing w:after="0"/>
              <w:rPr>
                <w:sz w:val="18"/>
                <w:szCs w:val="18"/>
                <w:color w:val="auto"/>
              </w:rPr>
            </w:pPr>
          </w:p>
        </w:tc>
      </w:t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640"/>
      </w:cols>
      <w:pgMar w:left="320" w:top="46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2024-05-23T11:45:12Z</dcterms:created>
  <dcterms:modified xsi:type="dcterms:W3CDTF">2024-05-23T11:45:12Z</dcterms:modified>
</cp:coreProperties>
</file>