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20"/>
        <w:spacing w:after="0"/>
        <w:rPr>
          <w:sz w:val="20"/>
          <w:szCs w:val="20"/>
          <w:color w:val="auto"/>
        </w:rPr>
      </w:pPr>
      <w:r>
        <w:rPr>
          <w:rFonts w:ascii="Arial" w:cs="Arial" w:eastAsia="Arial" w:hAnsi="Arial"/>
          <w:sz w:val="15"/>
          <w:szCs w:val="15"/>
          <w:color w:val="auto"/>
        </w:rPr>
        <w:t>Filed by Royal Dutch Shell plc</w:t>
      </w:r>
    </w:p>
    <w:p>
      <w:pPr>
        <w:spacing w:after="0" w:line="278" w:lineRule="exact"/>
        <w:rPr>
          <w:sz w:val="24"/>
          <w:szCs w:val="24"/>
          <w:color w:val="auto"/>
        </w:rPr>
      </w:pPr>
    </w:p>
    <w:p>
      <w:pPr>
        <w:jc w:val="right"/>
        <w:ind w:left="4560" w:right="40"/>
        <w:spacing w:after="0" w:line="366" w:lineRule="auto"/>
        <w:rPr>
          <w:sz w:val="20"/>
          <w:szCs w:val="20"/>
          <w:color w:val="auto"/>
        </w:rPr>
      </w:pPr>
      <w:r>
        <w:rPr>
          <w:rFonts w:ascii="Arial" w:cs="Arial" w:eastAsia="Arial" w:hAnsi="Arial"/>
          <w:sz w:val="15"/>
          <w:szCs w:val="15"/>
          <w:color w:val="auto"/>
        </w:rPr>
        <w:t>This communication is filed pursuant to Rule 425 under The Securities Act of 1933, as amended, and deemed filed pursuant to Rule 14d-2 of the Securities Exchange Act of 1934, as amended.</w:t>
      </w:r>
    </w:p>
    <w:p>
      <w:pPr>
        <w:spacing w:after="0" w:line="137" w:lineRule="exact"/>
        <w:rPr>
          <w:sz w:val="24"/>
          <w:szCs w:val="24"/>
          <w:color w:val="auto"/>
        </w:rPr>
      </w:pPr>
    </w:p>
    <w:p>
      <w:pPr>
        <w:ind w:left="7660"/>
        <w:spacing w:after="0"/>
        <w:rPr>
          <w:sz w:val="20"/>
          <w:szCs w:val="20"/>
          <w:color w:val="auto"/>
        </w:rPr>
      </w:pPr>
      <w:r>
        <w:rPr>
          <w:rFonts w:ascii="Arial" w:cs="Arial" w:eastAsia="Arial" w:hAnsi="Arial"/>
          <w:sz w:val="15"/>
          <w:szCs w:val="15"/>
          <w:color w:val="auto"/>
        </w:rPr>
        <w:t>Subject Company: Royal Dutch Petroleum Company</w:t>
      </w:r>
    </w:p>
    <w:p>
      <w:pPr>
        <w:spacing w:after="0" w:line="278" w:lineRule="exact"/>
        <w:rPr>
          <w:sz w:val="24"/>
          <w:szCs w:val="24"/>
          <w:color w:val="auto"/>
        </w:rPr>
      </w:pPr>
    </w:p>
    <w:p>
      <w:pPr>
        <w:ind w:left="8640"/>
        <w:spacing w:after="0"/>
        <w:rPr>
          <w:sz w:val="20"/>
          <w:szCs w:val="20"/>
          <w:color w:val="auto"/>
        </w:rPr>
      </w:pPr>
      <w:r>
        <w:rPr>
          <w:rFonts w:ascii="Arial" w:cs="Arial" w:eastAsia="Arial" w:hAnsi="Arial"/>
          <w:sz w:val="15"/>
          <w:szCs w:val="15"/>
          <w:color w:val="auto"/>
        </w:rPr>
        <w:t>Commission File Number: 333-125037</w:t>
      </w:r>
    </w:p>
    <w:p>
      <w:pPr>
        <w:spacing w:after="0" w:line="278" w:lineRule="exact"/>
        <w:rPr>
          <w:sz w:val="24"/>
          <w:szCs w:val="24"/>
          <w:color w:val="auto"/>
        </w:rPr>
      </w:pPr>
    </w:p>
    <w:p>
      <w:pPr>
        <w:ind w:left="10000"/>
        <w:spacing w:after="0"/>
        <w:rPr>
          <w:sz w:val="20"/>
          <w:szCs w:val="20"/>
          <w:color w:val="auto"/>
        </w:rPr>
      </w:pPr>
      <w:r>
        <w:rPr>
          <w:rFonts w:ascii="Arial" w:cs="Arial" w:eastAsia="Arial" w:hAnsi="Arial"/>
          <w:sz w:val="15"/>
          <w:szCs w:val="15"/>
          <w:color w:val="auto"/>
        </w:rPr>
        <w:t>Date: June 10,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2382520" cy="690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2520" cy="6902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June 10, 2005</w:t>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8"/>
          <w:szCs w:val="18"/>
          <w:color w:val="auto"/>
        </w:rPr>
        <w:t>Dear Shell SEG Deferral Plan Participant:</w:t>
      </w:r>
    </w:p>
    <w:p>
      <w:pPr>
        <w:spacing w:after="0" w:line="26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Concerning Your Rights Under the Shell SEG Deferral Plan</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Blackout Notice</w:t>
      </w:r>
    </w:p>
    <w:p>
      <w:pPr>
        <w:spacing w:after="0" w:line="259" w:lineRule="exact"/>
        <w:rPr>
          <w:sz w:val="24"/>
          <w:szCs w:val="24"/>
          <w:color w:val="auto"/>
        </w:rPr>
      </w:pPr>
    </w:p>
    <w:p>
      <w:pPr>
        <w:jc w:val="both"/>
        <w:ind w:right="100"/>
        <w:spacing w:after="0" w:line="330" w:lineRule="auto"/>
        <w:rPr>
          <w:sz w:val="20"/>
          <w:szCs w:val="20"/>
          <w:color w:val="auto"/>
        </w:rPr>
      </w:pPr>
      <w:r>
        <w:rPr>
          <w:rFonts w:ascii="Arial" w:cs="Arial" w:eastAsia="Arial" w:hAnsi="Arial"/>
          <w:sz w:val="15"/>
          <w:szCs w:val="15"/>
          <w:color w:val="auto"/>
        </w:rPr>
        <w:t>As previously communicated in the letter dated June 1, 2005, the proposed unification (the “Transaction”) of Royal Dutch Petroleum Company (“Royal Dutch”) and The “Shell” Transport and Trading Company, p.l.c. (“Shell Transport”) under a single parent company, Royal Dutch Shell plc, has been announced. As part of the Transaction, Royal Dutch Shell plc is making an offer to acquire all of the issued and outstanding shares of Royal Dutch stock.</w:t>
      </w:r>
    </w:p>
    <w:p>
      <w:pPr>
        <w:spacing w:after="0" w:line="190" w:lineRule="exact"/>
        <w:rPr>
          <w:sz w:val="24"/>
          <w:szCs w:val="24"/>
          <w:color w:val="auto"/>
        </w:rPr>
      </w:pPr>
    </w:p>
    <w:p>
      <w:pPr>
        <w:ind w:right="5200"/>
        <w:spacing w:after="0" w:line="303" w:lineRule="auto"/>
        <w:rPr>
          <w:sz w:val="20"/>
          <w:szCs w:val="20"/>
          <w:color w:val="auto"/>
        </w:rPr>
      </w:pPr>
      <w:r>
        <w:rPr>
          <w:rFonts w:ascii="Arial" w:cs="Arial" w:eastAsia="Arial" w:hAnsi="Arial"/>
          <w:sz w:val="15"/>
          <w:szCs w:val="15"/>
          <w:color w:val="auto"/>
        </w:rPr>
        <w:t>The Transaction will affect the Shell SEG Deferral Plan because the Shell SEG Deferral Plan includes the Royal Dutch Stock Account as one of the investment options available</w:t>
      </w:r>
    </w:p>
    <w:p>
      <w:pPr>
        <w:ind w:right="1000"/>
        <w:spacing w:after="0" w:line="245" w:lineRule="auto"/>
        <w:rPr>
          <w:sz w:val="20"/>
          <w:szCs w:val="20"/>
          <w:color w:val="auto"/>
        </w:rPr>
      </w:pPr>
      <w:r>
        <w:rPr>
          <w:rFonts w:ascii="Arial" w:cs="Arial" w:eastAsia="Arial" w:hAnsi="Arial"/>
          <w:sz w:val="18"/>
          <w:szCs w:val="18"/>
          <w:color w:val="auto"/>
        </w:rPr>
        <w:t>to participants. As you are aware, any balance you may hold in the Shell SEG Deferral Plan, including the Royal Dutch Stock Account, represents a bookkeeping entry that measures Shell</w:t>
      </w:r>
    </w:p>
    <w:p>
      <w:pPr>
        <w:spacing w:after="0" w:line="2" w:lineRule="exact"/>
        <w:rPr>
          <w:sz w:val="24"/>
          <w:szCs w:val="24"/>
          <w:color w:val="auto"/>
        </w:rPr>
      </w:pPr>
    </w:p>
    <w:p>
      <w:pPr>
        <w:ind w:right="260"/>
        <w:spacing w:after="0" w:line="245" w:lineRule="auto"/>
        <w:rPr>
          <w:sz w:val="20"/>
          <w:szCs w:val="20"/>
          <w:color w:val="auto"/>
        </w:rPr>
      </w:pPr>
      <w:r>
        <w:rPr>
          <w:rFonts w:ascii="Arial" w:cs="Arial" w:eastAsia="Arial" w:hAnsi="Arial"/>
          <w:sz w:val="18"/>
          <w:szCs w:val="18"/>
          <w:color w:val="auto"/>
        </w:rPr>
        <w:t>Oil Company’s obligation to you. Any actual shares of Royal Dutch stock are held in a trust established by Shell Oil Company to defray its obligations to plan participants and are subject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to the creditors of Shell Oil Company.</w:t>
      </w:r>
    </w:p>
    <w:p>
      <w:pPr>
        <w:spacing w:after="0" w:line="259" w:lineRule="exact"/>
        <w:rPr>
          <w:sz w:val="24"/>
          <w:szCs w:val="24"/>
          <w:color w:val="auto"/>
        </w:rPr>
      </w:pPr>
    </w:p>
    <w:p>
      <w:pPr>
        <w:ind w:right="100"/>
        <w:spacing w:after="0" w:line="252" w:lineRule="auto"/>
        <w:rPr>
          <w:sz w:val="20"/>
          <w:szCs w:val="20"/>
          <w:color w:val="auto"/>
        </w:rPr>
      </w:pPr>
      <w:r>
        <w:rPr>
          <w:rFonts w:ascii="Arial" w:cs="Arial" w:eastAsia="Arial" w:hAnsi="Arial"/>
          <w:sz w:val="18"/>
          <w:szCs w:val="18"/>
          <w:color w:val="auto"/>
        </w:rPr>
        <w:t xml:space="preserve">Fidelity Management Trust Company, the trustee of the trust associated with the Shell SEG Deferral Plan, will make all decisions relating to the exchange (or “tender”) of existing Royal Dutch Stock Account holdings. Subject to the approval of the Transaction, your balance (if any) in the existing Royal Dutch Stock Account will automatically be exchanged for an equivalent number of shares in the new </w:t>
      </w:r>
      <w:r>
        <w:rPr>
          <w:rFonts w:ascii="Arial" w:cs="Arial" w:eastAsia="Arial" w:hAnsi="Arial"/>
          <w:sz w:val="18"/>
          <w:szCs w:val="18"/>
          <w:b w:val="1"/>
          <w:bCs w:val="1"/>
          <w:color w:val="auto"/>
        </w:rPr>
        <w:t>Royal Dutch Shell Stock Account</w:t>
      </w:r>
      <w:r>
        <w:rPr>
          <w:rFonts w:ascii="Arial" w:cs="Arial" w:eastAsia="Arial" w:hAnsi="Arial"/>
          <w:sz w:val="18"/>
          <w:szCs w:val="18"/>
          <w:color w:val="auto"/>
        </w:rPr>
        <w:t>. (You do not need to take any action for this to occur.)</w:t>
      </w: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b w:val="1"/>
          <w:bCs w:val="1"/>
          <w:u w:val="single" w:color="auto"/>
          <w:color w:val="auto"/>
        </w:rPr>
        <w:t>Only the Royal Dutch Stock Account within the Shell SEG Deferral Plan will be affected.</w:t>
      </w:r>
      <w:r>
        <w:rPr>
          <w:rFonts w:ascii="Arial" w:cs="Arial" w:eastAsia="Arial" w:hAnsi="Arial"/>
          <w:sz w:val="15"/>
          <w:szCs w:val="15"/>
          <w:b w:val="1"/>
          <w:bCs w:val="1"/>
          <w:color w:val="auto"/>
        </w:rPr>
        <w:t xml:space="preserve"> </w:t>
      </w:r>
      <w:r>
        <w:rPr>
          <w:rFonts w:ascii="Arial" w:cs="Arial" w:eastAsia="Arial" w:hAnsi="Arial"/>
          <w:sz w:val="15"/>
          <w:szCs w:val="15"/>
          <w:color w:val="auto"/>
        </w:rPr>
        <w:t>Your other investment options in the Shell SEG Deferral Plan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will not be affected by the</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Blackout Period.</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IMPORTANT INFORMATION</w:t>
      </w:r>
    </w:p>
    <w:p>
      <w:pPr>
        <w:spacing w:after="0" w:line="22" w:lineRule="exact"/>
        <w:rPr>
          <w:sz w:val="24"/>
          <w:szCs w:val="24"/>
          <w:color w:val="auto"/>
        </w:rPr>
      </w:pPr>
    </w:p>
    <w:p>
      <w:pPr>
        <w:ind w:right="60"/>
        <w:spacing w:after="0" w:line="245" w:lineRule="auto"/>
        <w:rPr>
          <w:sz w:val="20"/>
          <w:szCs w:val="20"/>
          <w:color w:val="auto"/>
        </w:rPr>
      </w:pPr>
      <w:r>
        <w:rPr>
          <w:rFonts w:ascii="Arial" w:cs="Arial" w:eastAsia="Arial" w:hAnsi="Arial"/>
          <w:sz w:val="18"/>
          <w:szCs w:val="18"/>
          <w:color w:val="auto"/>
        </w:rPr>
        <w:t xml:space="preserve">In order to deal with the mechanics of the exchange of shares of Royal Dutch stock for shares of Royal Dutch Shell plc stock and to ensure that all information is transferred accurately from the Royal Dutch Stock Account to the </w:t>
      </w:r>
      <w:r>
        <w:rPr>
          <w:rFonts w:ascii="Arial" w:cs="Arial" w:eastAsia="Arial" w:hAnsi="Arial"/>
          <w:sz w:val="18"/>
          <w:szCs w:val="18"/>
          <w:b w:val="1"/>
          <w:bCs w:val="1"/>
          <w:color w:val="auto"/>
        </w:rPr>
        <w:t>Royal Dutch Shell Stock Account</w:t>
      </w:r>
      <w:r>
        <w:rPr>
          <w:rFonts w:ascii="Arial" w:cs="Arial" w:eastAsia="Arial" w:hAnsi="Arial"/>
          <w:sz w:val="18"/>
          <w:szCs w:val="18"/>
          <w:color w:val="auto"/>
        </w:rPr>
        <w:t>, there will be a period</w:t>
      </w:r>
    </w:p>
    <w:p>
      <w:pPr>
        <w:spacing w:after="0" w:line="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 xml:space="preserve">of time when you will be unable to process transactions in the Royal Dutch Stock Account. </w:t>
      </w:r>
      <w:r>
        <w:rPr>
          <w:rFonts w:ascii="Arial" w:cs="Arial" w:eastAsia="Arial" w:hAnsi="Arial"/>
          <w:sz w:val="18"/>
          <w:szCs w:val="18"/>
          <w:b w:val="1"/>
          <w:bCs w:val="1"/>
          <w:color w:val="auto"/>
        </w:rPr>
        <w:t>This time period, during which you are unable to exercise your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rights otherwise available under the plan, is called a “Blackout Period” and is expected to begin during the week of July 10, 2005, and is expected to end during the week of July 17, 2005. </w:t>
      </w:r>
      <w:r>
        <w:rPr>
          <w:rFonts w:ascii="Arial" w:cs="Arial" w:eastAsia="Arial" w:hAnsi="Arial"/>
          <w:sz w:val="18"/>
          <w:szCs w:val="18"/>
          <w:color w:val="auto"/>
        </w:rPr>
        <w:t>During these weeks, you can determine whether the Blackout Period has started or ended by calling the Shell Benefits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Center 1-800-30 SHELL (1-800-307-4355) and speaking with a Service Representative. The specific Blackout Period dates will be posted on Fidelity NetBenefits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at http://netbenefits.fidelity.com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318135</wp:posOffset>
            </wp:positionV>
            <wp:extent cx="72701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60"/>
          </w:cols>
          <w:pgMar w:left="240" w:top="233" w:right="199" w:bottom="144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 xml:space="preserve">as soon as they are available. The dates will be located in the </w:t>
      </w:r>
      <w:r>
        <w:rPr>
          <w:rFonts w:ascii="Arial" w:cs="Arial" w:eastAsia="Arial" w:hAnsi="Arial"/>
          <w:sz w:val="18"/>
          <w:szCs w:val="18"/>
          <w:b w:val="1"/>
          <w:bCs w:val="1"/>
          <w:color w:val="auto"/>
        </w:rPr>
        <w:t>News</w:t>
      </w:r>
      <w:r>
        <w:rPr>
          <w:rFonts w:ascii="Arial" w:cs="Arial" w:eastAsia="Arial" w:hAnsi="Arial"/>
          <w:sz w:val="18"/>
          <w:szCs w:val="18"/>
          <w:color w:val="auto"/>
        </w:rPr>
        <w:t xml:space="preserve"> section on the right-hand side of the Home Page. The Blackout Period will only affect the Royal Dutch Stock Account within the Shell SEG Deferral Plan. Your other investment options in the Shell SEG Deferral Plan will not be affected by the Blackout Period.</w:t>
      </w:r>
    </w:p>
    <w:p>
      <w:pPr>
        <w:spacing w:after="0" w:line="237"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Whether or not you are planning retirement in the near future, we encourage you to carefully consider how the Blackout Period may affect your retirement planning, as well as your overall financial planning.</w:t>
      </w:r>
    </w:p>
    <w:p>
      <w:pPr>
        <w:spacing w:after="0" w:line="23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During the Blackout Period, you will be unable to direct or diversify assets held in your Royal Dutch Stock Account. For this reason, it is very important that you review and consider the appropriateness of your current investments in the Royal Dutch Stock Account in light of your inability to direct or diversify those investments during the Blackout Period. For your long-term retirement security, you should give careful consideration to the importance of a well-balanced and diversified investment portfolio, taking into account all your assets, income and investments. You should be aware that there is a risk to holding substantial portions of your assets in the securities of any one company, as individual securities tend to have wider price swings, up and down, in short periods of time, than investments in diversified funds. Individual stock funds, like the Royal Dutch Stock Account, are more likely to have wide price swings over a short time frame than mutual funds. Therefore, you might have a large loss during the Blackout Period, and you would not be able to direct the sale of the Royal Dutch Stock Account from your account during the Blackout Period. You have the flexibility to help minimize market risk by transferring a portion or all of your account balance in the Royal Dutch Stock Account to a more conservative investment option, such as the Fidelity Money Market Trust: Retirement Money Market Portfolio, prior to the beginning of the Blackout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Royal Dutch Stock Account activities will be affected during the Blackout Period?</w:t>
      </w:r>
    </w:p>
    <w:p>
      <w:pPr>
        <w:spacing w:after="0" w:line="22" w:lineRule="exact"/>
        <w:rPr>
          <w:sz w:val="20"/>
          <w:szCs w:val="20"/>
          <w:color w:val="auto"/>
        </w:rPr>
      </w:pPr>
    </w:p>
    <w:p>
      <w:pPr>
        <w:jc w:val="both"/>
        <w:ind w:left="640" w:right="100" w:hanging="130"/>
        <w:spacing w:after="0" w:line="245" w:lineRule="auto"/>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Exchanges - </w:t>
      </w:r>
      <w:r>
        <w:rPr>
          <w:rFonts w:ascii="Arial" w:cs="Arial" w:eastAsia="Arial" w:hAnsi="Arial"/>
          <w:sz w:val="18"/>
          <w:szCs w:val="18"/>
          <w:color w:val="auto"/>
        </w:rPr>
        <w:t>You will be unable to exchange any portion of your balance in the Royal Dutch Stock Account</w:t>
      </w:r>
      <w:r>
        <w:rPr>
          <w:rFonts w:ascii="Arial" w:cs="Arial" w:eastAsia="Arial" w:hAnsi="Arial"/>
          <w:sz w:val="18"/>
          <w:szCs w:val="18"/>
          <w:b w:val="1"/>
          <w:bCs w:val="1"/>
          <w:color w:val="auto"/>
        </w:rPr>
        <w:t xml:space="preserve"> to </w:t>
      </w:r>
      <w:r>
        <w:rPr>
          <w:rFonts w:ascii="Arial" w:cs="Arial" w:eastAsia="Arial" w:hAnsi="Arial"/>
          <w:sz w:val="18"/>
          <w:szCs w:val="18"/>
          <w:color w:val="auto"/>
        </w:rPr>
        <w:t>another investment option once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Blackout Period begins. You also will not be able to exchange any balance into the Royal Dutch Stock Account </w:t>
      </w:r>
      <w:r>
        <w:rPr>
          <w:rFonts w:ascii="Arial" w:cs="Arial" w:eastAsia="Arial" w:hAnsi="Arial"/>
          <w:sz w:val="18"/>
          <w:szCs w:val="18"/>
          <w:b w:val="1"/>
          <w:bCs w:val="1"/>
          <w:color w:val="auto"/>
        </w:rPr>
        <w:t>from</w:t>
      </w:r>
      <w:r>
        <w:rPr>
          <w:rFonts w:ascii="Arial" w:cs="Arial" w:eastAsia="Arial" w:hAnsi="Arial"/>
          <w:sz w:val="18"/>
          <w:szCs w:val="18"/>
          <w:color w:val="auto"/>
        </w:rPr>
        <w:t xml:space="preserve"> another investment option until the Blackout Period ends.</w:t>
      </w:r>
    </w:p>
    <w:p>
      <w:pPr>
        <w:spacing w:after="0" w:line="2" w:lineRule="exact"/>
        <w:rPr>
          <w:rFonts w:ascii="Arial" w:cs="Arial" w:eastAsia="Arial" w:hAnsi="Arial"/>
          <w:sz w:val="18"/>
          <w:szCs w:val="18"/>
          <w:b w:val="1"/>
          <w:bCs w:val="1"/>
          <w:color w:val="auto"/>
        </w:rPr>
      </w:pPr>
    </w:p>
    <w:p>
      <w:pPr>
        <w:jc w:val="both"/>
        <w:ind w:left="640" w:right="100" w:hanging="130"/>
        <w:spacing w:after="0" w:line="247" w:lineRule="auto"/>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 Distributions - </w:t>
      </w:r>
      <w:r>
        <w:rPr>
          <w:rFonts w:ascii="Arial" w:cs="Arial" w:eastAsia="Arial" w:hAnsi="Arial"/>
          <w:sz w:val="18"/>
          <w:szCs w:val="18"/>
          <w:color w:val="auto"/>
        </w:rPr>
        <w:t>Your ability to take account distributions during the Blackout Period will be reduced by the amount of your account invested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Royal Dutch Stock Account. All other investment options, except the Royal Dutch Stock Account, will be available for distributions during the Blackout Period. Should you request a total distribution during the Blackout Period, only that portion of your account not invested in the Royal Dutch Stock Account will be distributed to you. Once the Blackout Period is over, you will have to request a separate distribution of the </w:t>
      </w:r>
      <w:r>
        <w:rPr>
          <w:rFonts w:ascii="Arial" w:cs="Arial" w:eastAsia="Arial" w:hAnsi="Arial"/>
          <w:sz w:val="18"/>
          <w:szCs w:val="18"/>
          <w:b w:val="1"/>
          <w:bCs w:val="1"/>
          <w:color w:val="auto"/>
        </w:rPr>
        <w:t>Royal Dutch Shell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Stock Account </w:t>
      </w:r>
      <w:r>
        <w:rPr>
          <w:rFonts w:ascii="Arial" w:cs="Arial" w:eastAsia="Arial" w:hAnsi="Arial"/>
          <w:sz w:val="18"/>
          <w:szCs w:val="18"/>
          <w:color w:val="auto"/>
        </w:rPr>
        <w:t>to complete a total distribution of your account.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to contributions during the Blackout Period?</w:t>
      </w:r>
    </w:p>
    <w:p>
      <w:pPr>
        <w:spacing w:after="0" w:line="22" w:lineRule="exact"/>
        <w:rPr>
          <w:sz w:val="20"/>
          <w:szCs w:val="20"/>
          <w:color w:val="auto"/>
        </w:rPr>
      </w:pPr>
    </w:p>
    <w:p>
      <w:pPr>
        <w:jc w:val="both"/>
        <w:ind w:left="640" w:right="100" w:hanging="130"/>
        <w:spacing w:after="0" w:line="24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Contributions during the blackout period that would otherwise have been directed to the Royal Dutch Stock Account will be directed to the Fidelity Money Market Trust: Retirement Money Market Portfolio. After the blackout period is over, contributions that were previously directed to the Royal Dutch Stock Account will be directed to the </w:t>
      </w:r>
      <w:r>
        <w:rPr>
          <w:rFonts w:ascii="Arial" w:cs="Arial" w:eastAsia="Arial" w:hAnsi="Arial"/>
          <w:sz w:val="18"/>
          <w:szCs w:val="18"/>
          <w:b w:val="1"/>
          <w:bCs w:val="1"/>
          <w:color w:val="auto"/>
        </w:rPr>
        <w:t>Royal Dutch Shell Stock Account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567690</wp:posOffset>
            </wp:positionV>
            <wp:extent cx="72701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520"/>
          </w:cols>
          <w:pgMar w:left="240" w:top="386" w:right="1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When can activities resume?</w:t>
      </w:r>
    </w:p>
    <w:p>
      <w:pPr>
        <w:spacing w:after="0" w:line="22" w:lineRule="exact"/>
        <w:rPr>
          <w:sz w:val="20"/>
          <w:szCs w:val="20"/>
          <w:color w:val="auto"/>
        </w:rPr>
      </w:pPr>
    </w:p>
    <w:p>
      <w:pPr>
        <w:jc w:val="both"/>
        <w:ind w:left="640" w:right="80" w:hanging="130"/>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Subject to the approval of the Transaction, it is anticipated that the </w:t>
      </w:r>
      <w:r>
        <w:rPr>
          <w:rFonts w:ascii="Arial" w:cs="Arial" w:eastAsia="Arial" w:hAnsi="Arial"/>
          <w:sz w:val="18"/>
          <w:szCs w:val="18"/>
          <w:b w:val="1"/>
          <w:bCs w:val="1"/>
          <w:color w:val="auto"/>
        </w:rPr>
        <w:t>Royal Dutch Shell Stock Account</w:t>
      </w:r>
      <w:r>
        <w:rPr>
          <w:rFonts w:ascii="Arial" w:cs="Arial" w:eastAsia="Arial" w:hAnsi="Arial"/>
          <w:sz w:val="18"/>
          <w:szCs w:val="18"/>
          <w:color w:val="auto"/>
        </w:rPr>
        <w:t xml:space="preserve"> will open for normal activity during the week of July 17, 2005. Any extension of the period needed to approve the Transaction may extend the Blackout Period. You will receive additional information should an extension be necessary.</w:t>
      </w:r>
    </w:p>
    <w:p>
      <w:pPr>
        <w:spacing w:after="0" w:line="2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you have questions, please call the Shell Benefits Service Center at 1-800-30 SHELL (1-800-307-4355). Service Representatives are available business days (excluding New York Stock Exchange holidays) between 7:30 a.m. and 11:00 p.m. Central time. You can also write to the Shell Benefits Service Center, PO Box 770003, Cincinnati, OH 45277-0065.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Shell Benefits Service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170815</wp:posOffset>
            </wp:positionV>
            <wp:extent cx="5817870" cy="1405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7870" cy="1405890"/>
                    </a:xfrm>
                    <a:prstGeom prst="rect">
                      <a:avLst/>
                    </a:prstGeom>
                    <a:noFill/>
                  </pic:spPr>
                </pic:pic>
              </a:graphicData>
            </a:graphic>
          </wp:anchor>
        </w:drawing>
      </w:r>
    </w:p>
    <w:p>
      <w:pPr>
        <w:spacing w:after="0" w:line="277" w:lineRule="exact"/>
        <w:rPr>
          <w:sz w:val="20"/>
          <w:szCs w:val="20"/>
          <w:color w:val="auto"/>
        </w:rPr>
      </w:pPr>
    </w:p>
    <w:p>
      <w:pPr>
        <w:jc w:val="both"/>
        <w:ind w:left="40" w:right="2400"/>
        <w:spacing w:after="0" w:line="265" w:lineRule="auto"/>
        <w:rPr>
          <w:sz w:val="20"/>
          <w:szCs w:val="20"/>
          <w:color w:val="auto"/>
        </w:rPr>
      </w:pPr>
      <w:r>
        <w:rPr>
          <w:rFonts w:ascii="Arial" w:cs="Arial" w:eastAsia="Arial" w:hAnsi="Arial"/>
          <w:sz w:val="17"/>
          <w:szCs w:val="17"/>
          <w:b w:val="1"/>
          <w:bCs w:val="1"/>
          <w:color w:val="auto"/>
        </w:rPr>
        <w:t xml:space="preserve">Royal Dutch Shell plc has filed a registration statement on Form F-4 (including the prospectus) and other documents relating to the exchange offer and will file or furnish to the US Securities and Exchange Commission (the “SEC”) other documents relating to the exchange offer. Royal Dutch Petroleum Company has filed a related solicitation/recommendation statement on Schedule 14D-9 regarding the offer. Each of these documents contains important information relating to the exchange offer and should be carefully reviewed by investors. </w:t>
      </w:r>
      <w:r>
        <w:rPr>
          <w:rFonts w:ascii="Arial" w:cs="Arial" w:eastAsia="Arial" w:hAnsi="Arial"/>
          <w:sz w:val="17"/>
          <w:szCs w:val="17"/>
          <w:color w:val="auto"/>
        </w:rPr>
        <w:t>A free copy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(once filed with the SEC) and other documents made public or filed with, or furnished to, the SEC by Royal Dutch Shell plc, Royal Dutch Petroleum Company and The “Shell” Transport and Trading Company, p.l.c. can be obtained at the SEC's Web site at www.sec.gov or the Royal Dutch Shell plc Web site at www.shell.com/unification. These documents may also be obtained free of charge by contacting Investor Relations, Shell International B.V., FSK, PO Box 162, 2501 AN The Hague,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5455920" cy="32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5920" cy="328295"/>
                    </a:xfrm>
                    <a:prstGeom prst="rect">
                      <a:avLst/>
                    </a:prstGeom>
                    <a:noFill/>
                  </pic:spPr>
                </pic:pic>
              </a:graphicData>
            </a:graphic>
          </wp:anchor>
        </w:drawing>
      </w:r>
    </w:p>
    <w:p>
      <w:pPr>
        <w:spacing w:after="0" w:line="267" w:lineRule="exact"/>
        <w:rPr>
          <w:sz w:val="20"/>
          <w:szCs w:val="20"/>
          <w:color w:val="auto"/>
        </w:rPr>
      </w:pPr>
    </w:p>
    <w:p>
      <w:pPr>
        <w:ind w:left="40" w:right="2980"/>
        <w:spacing w:after="0" w:line="366" w:lineRule="auto"/>
        <w:rPr>
          <w:sz w:val="20"/>
          <w:szCs w:val="20"/>
          <w:color w:val="auto"/>
        </w:rPr>
      </w:pPr>
      <w:r>
        <w:rPr>
          <w:rFonts w:ascii="Arial" w:cs="Arial" w:eastAsia="Arial" w:hAnsi="Arial"/>
          <w:sz w:val="15"/>
          <w:szCs w:val="15"/>
          <w:i w:val="1"/>
          <w:iCs w:val="1"/>
          <w:color w:val="auto"/>
        </w:rPr>
        <w:t>This letter does not constitute an offer, or the solicitation of an offer, pursuant to the Royal Dutch Shell exchange offer referred to above. The exchange offer is not being made in Belgium, France, Italy, Japan and New Zealand.</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i w:val="1"/>
          <w:iCs w:val="1"/>
          <w:color w:val="auto"/>
        </w:rPr>
        <w:t>Before investing in any mutual fund, please carefully consider the investment objectives, risks, charges and expenses. For this and other information, call or write Fidelity for a free prospectus. Read it carefully before you invest.</w:t>
      </w:r>
    </w:p>
    <w:p>
      <w:pPr>
        <w:spacing w:after="0" w:line="232"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Unless otherwise noted, transaction requests confirmed after the close of the market, normally 3:00 p.m. Central time, or on weekends or holidays, will receive the next available closing prices.</w:t>
      </w:r>
    </w:p>
    <w:p>
      <w:pPr>
        <w:spacing w:after="0" w:line="23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Shell SEG Deferral Plan is a non-qualified plan. Although the company may establish a grantor type trust to hold assets, in the event of the company’s bankruptcy, any account established for you would be subject to the claims of the company’s creditor(s). For more information on the plan, please refer to the plan documents.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reallocation of assets depends on the timely liquidation of those assets. A delay in liquidation may result in a change to the above noted 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options available through the plan reserve the right to modify or withdraw the exchange privilege.</w:t>
      </w:r>
    </w:p>
    <w:p>
      <w:pPr>
        <w:spacing w:after="0" w:line="27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An investment in a money market fund is not insured or guaranteed by the FDIC or any other government agency. Although money market funds seek to preserve the value of your investment at $1 per share, it is possible to lose money by investing in these funds.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Royal Dutch Shell Stock Account is neither a mutual fund nor a diversified or managed investment option.</w:t>
      </w: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Fidelity Investments Institutional Services Company, Inc., 82 Devonshire St., Boston, MA 02109</w:t>
      </w:r>
    </w:p>
    <w:sectPr>
      <w:pgSz w:w="11900" w:h="16838" w:orient="portrait"/>
      <w:cols w:equalWidth="0" w:num="1">
        <w:col w:w="11500"/>
      </w:cols>
      <w:pgMar w:left="240" w:top="386"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2019-12-16T15:49:00Z</dcterms:created>
  <dcterms:modified xsi:type="dcterms:W3CDTF">2019-12-16T15:49:00Z</dcterms:modified>
</cp:coreProperties>
</file>