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2826.htm"/>
      <w:bookmarkStart w:id="1" w:name="ksf6k_0928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September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b/>
          <w:sz w:val="20"/>
        </w:rPr>
      </w:pPr>
      <w:r>
        <w:rPr>
          <w:b/>
          <w:sz w:val="20"/>
        </w:rPr>
        <w:t>Director/PDMR Shareholding</w:t>
      </w:r>
    </w:p>
    <w:tbl>
      <w:tblPr>
        <w:tblW w:w="10205" w:type="dxa"/>
        <w:jc w:val="left"/>
        <w:tblInd w:w="0" w:type="dxa"/>
        <w:tblLayout w:type="fixed"/>
        <w:tblCellMar>
          <w:top w:w="28" w:type="dxa"/>
          <w:left w:w="28" w:type="dxa"/>
          <w:bottom w:w="28" w:type="dxa"/>
          <w:right w:w="28" w:type="dxa"/>
        </w:tblCellMar>
      </w:tblPr>
      <w:tblGrid>
        <w:gridCol w:w="2661"/>
        <w:gridCol w:w="658"/>
        <w:gridCol w:w="610"/>
        <w:gridCol w:w="3109"/>
        <w:gridCol w:w="2564"/>
        <w:gridCol w:w="260"/>
        <w:gridCol w:w="343"/>
      </w:tblGrid>
      <w:tr>
        <w:trPr/>
        <w:tc>
          <w:tcPr>
            <w:tcW w:w="10205" w:type="dxa"/>
            <w:gridSpan w:val="7"/>
            <w:tcBorders/>
            <w:vAlign w:val="center"/>
          </w:tcPr>
          <w:p>
            <w:pPr>
              <w:pStyle w:val="TableContents"/>
              <w:bidi w:val="0"/>
              <w:spacing w:before="0" w:after="283"/>
              <w:jc w:val="left"/>
              <w:rPr>
                <w:b/>
                <w:sz w:val="20"/>
              </w:rPr>
            </w:pPr>
            <w:r>
              <w:rPr>
                <w:b/>
                <w:sz w:val="20"/>
              </w:rPr>
              <w:t>NOTIFICATION AND PUBLIC DISCLOSURE OF TRANSACTIONS BY PERSONS DISCHARGING MANAGERIAL RESPONSIBILITIES IN ACCORDANCE WITH THE REQUIREMENTS OF THE EU AND UK MARKET ABUSE REGIMES</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sz w:val="20"/>
              </w:rPr>
            </w:pPr>
            <w:r>
              <w:rPr>
                <w:sz w:val="20"/>
              </w:rPr>
              <w:t>September 28, 2026</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10205" w:type="dxa"/>
            <w:gridSpan w:val="7"/>
            <w:tcBorders/>
            <w:vAlign w:val="center"/>
          </w:tcPr>
          <w:p>
            <w:pPr>
              <w:pStyle w:val="TableContents"/>
              <w:bidi w:val="0"/>
              <w:spacing w:before="0" w:after="283"/>
              <w:jc w:val="left"/>
              <w:rPr>
                <w:sz w:val="20"/>
              </w:rPr>
            </w:pPr>
            <w:r>
              <w:rPr>
                <w:sz w:val="20"/>
              </w:rPr>
              <w:t>Shell plc (the “Company”) announces that it has received notification that, on 24 September 2026, the following Persons Discharging Managerial Responsibilities (“PDMRs”) acquired dividend shares in respect of shares previously delivered under annual bonus arrangements and/or shares previously vested under employee share plans and held in a Share Plan Account. Details of the transactions are set out below.</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PDMR</w:t>
            </w:r>
          </w:p>
        </w:tc>
        <w:tc>
          <w:tcPr>
            <w:tcW w:w="1268"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Number</w:t>
            </w:r>
          </w:p>
        </w:tc>
        <w:tc>
          <w:tcPr>
            <w:tcW w:w="3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Share Type</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Place of Transaction</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Wael Sawan</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2,211.85048</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Amsterdam</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Wael Sawan</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2,001.51133</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London</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Sinead Gorman</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2,417.41860</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London</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Philippa Bounds</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0.00491</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Amsterdam</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Philippa Bounds</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212.96999</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London</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Peter Costello</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25.63528</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Amsterdam</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Peter Costello</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sz w:val="20"/>
              </w:rPr>
              <w:t>1,074.45175</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London</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Cederic Cremers</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403.99964</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Amsterdam</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Machteld de Haan</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435.12124</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Amsterdam</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Machteld de Haan</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18.37605</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American Depositary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New York</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Andrew Smith</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645.62164</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Amsterdam</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Rachel Solway</w:t>
            </w:r>
          </w:p>
        </w:tc>
        <w:tc>
          <w:tcPr>
            <w:tcW w:w="126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124.66164</w:t>
            </w:r>
          </w:p>
        </w:tc>
        <w:tc>
          <w:tcPr>
            <w:tcW w:w="3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Ordinary Shares</w:t>
            </w:r>
          </w:p>
        </w:tc>
        <w:tc>
          <w:tcPr>
            <w:tcW w:w="25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London</w:t>
            </w:r>
          </w:p>
        </w:tc>
        <w:tc>
          <w:tcPr>
            <w:tcW w:w="260"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9862" w:type="dxa"/>
            <w:gridSpan w:val="6"/>
            <w:tcBorders/>
            <w:vAlign w:val="center"/>
          </w:tcPr>
          <w:p>
            <w:pPr>
              <w:pStyle w:val="TableContents"/>
              <w:bidi w:val="0"/>
              <w:spacing w:before="0" w:after="283"/>
              <w:jc w:val="left"/>
              <w:rPr>
                <w:sz w:val="20"/>
              </w:rPr>
            </w:pPr>
            <w:r>
              <w:rPr>
                <w:sz w:val="20"/>
              </w:rPr>
              <w:br/>
              <w:t>The Notification of Dealing Form for each PDMR can be found below.</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b/>
                <w:sz w:val="20"/>
              </w:rPr>
            </w:pPr>
            <w:r>
              <w:rPr>
                <w:b/>
                <w:sz w:val="20"/>
              </w:rPr>
              <w:t>ENQUIRIES</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10205" w:type="dxa"/>
            <w:gridSpan w:val="7"/>
            <w:tcBorders/>
            <w:vAlign w:val="center"/>
          </w:tcPr>
          <w:p>
            <w:pPr>
              <w:pStyle w:val="TableContents"/>
              <w:bidi w:val="0"/>
              <w:spacing w:before="0" w:after="283"/>
              <w:jc w:val="left"/>
              <w:rPr>
                <w:sz w:val="20"/>
              </w:rPr>
            </w:pPr>
            <w:r>
              <w:rPr>
                <w:sz w:val="20"/>
              </w:rPr>
              <w:t>Shell Media Relations</w:t>
              <w:br/>
              <w:t>International, UK, European Press: +44 20 7934 5550</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2661"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pPr>
            <w:r>
              <w:rPr/>
              <w:t> </w:t>
            </w:r>
          </w:p>
        </w:tc>
        <w:tc>
          <w:tcPr>
            <w:tcW w:w="256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9862"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Wael</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Sawan</w:t>
            </w:r>
          </w:p>
        </w:tc>
        <w:tc>
          <w:tcPr>
            <w:tcW w:w="343" w:type="dxa"/>
            <w:tcBorders/>
            <w:vAlign w:val="center"/>
          </w:tcPr>
          <w:p>
            <w:pPr>
              <w:pStyle w:val="TableContents"/>
              <w:bidi w:val="0"/>
              <w:spacing w:before="0" w:after="283"/>
              <w:jc w:val="left"/>
              <w:rPr/>
            </w:pPr>
            <w:r>
              <w:rPr/>
              <w:t> </w:t>
            </w:r>
          </w:p>
        </w:tc>
      </w:tr>
      <w:tr>
        <w:trPr/>
        <w:tc>
          <w:tcPr>
            <w:tcW w:w="9862"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Executive Officer</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c>
          <w:tcPr>
            <w:tcW w:w="343" w:type="dxa"/>
            <w:tcBorders/>
            <w:vAlign w:val="center"/>
          </w:tcPr>
          <w:p>
            <w:pPr>
              <w:pStyle w:val="TableContents"/>
              <w:bidi w:val="0"/>
              <w:spacing w:before="0" w:after="283"/>
              <w:jc w:val="left"/>
              <w:rPr/>
            </w:pPr>
            <w:r>
              <w:rPr/>
              <w:t> </w:t>
            </w:r>
          </w:p>
        </w:tc>
      </w:tr>
      <w:tr>
        <w:trPr/>
        <w:tc>
          <w:tcPr>
            <w:tcW w:w="9862"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c>
          <w:tcPr>
            <w:tcW w:w="343" w:type="dxa"/>
            <w:tcBorders/>
            <w:vAlign w:val="center"/>
          </w:tcPr>
          <w:p>
            <w:pPr>
              <w:pStyle w:val="TableContents"/>
              <w:bidi w:val="0"/>
              <w:spacing w:before="0" w:after="283"/>
              <w:jc w:val="left"/>
              <w:rPr/>
            </w:pPr>
            <w:r>
              <w:rPr/>
              <w:t> </w:t>
            </w:r>
          </w:p>
        </w:tc>
      </w:tr>
      <w:tr>
        <w:trPr/>
        <w:tc>
          <w:tcPr>
            <w:tcW w:w="9862"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42.2073</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2,211.85048</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93,356.24</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6543"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6543"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2,211.85048</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6543"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42.2073</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93,356.24</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c>
          <w:tcPr>
            <w:tcW w:w="343" w:type="dxa"/>
            <w:tcBorders/>
            <w:vAlign w:val="center"/>
          </w:tcPr>
          <w:p>
            <w:pPr>
              <w:pStyle w:val="TableContents"/>
              <w:bidi w:val="0"/>
              <w:spacing w:before="0" w:after="283"/>
              <w:jc w:val="left"/>
              <w:rPr/>
            </w:pPr>
            <w:r>
              <w:rPr/>
              <w:t> </w:t>
            </w:r>
          </w:p>
        </w:tc>
      </w:tr>
      <w:tr>
        <w:trPr/>
        <w:tc>
          <w:tcPr>
            <w:tcW w:w="3319"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654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c>
          <w:tcPr>
            <w:tcW w:w="343" w:type="dxa"/>
            <w:tcBorders/>
            <w:vAlign w:val="center"/>
          </w:tcPr>
          <w:p>
            <w:pPr>
              <w:pStyle w:val="TableContents"/>
              <w:bidi w:val="0"/>
              <w:spacing w:before="0" w:after="283"/>
              <w:jc w:val="left"/>
              <w:rPr/>
            </w:pPr>
            <w:r>
              <w:rPr/>
              <w:t> </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Wael</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Sawan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Executive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2,001.51133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72,414.64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2,001.51133</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72,414.64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Sinead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Gorman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Financial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2,417.41860</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87,462.16</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2,417.41860</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87,462.16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Philippa</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Bounds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Legal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0.00491</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0.21</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0.00491</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0.21</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Philippa</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Bounds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Legal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212.96999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7,705.25</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212.96999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7,705.25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Peter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Costello</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Upstream</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25.63528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1,082.00</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25.63528</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1,082.00</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Peter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Costello</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Upstream</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1,074.45175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38,873.64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1,074.45175</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38,873.64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Cederic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Cremers</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Integrated Gas</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403.99964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17,051.73</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403.99964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17,051.73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Machteld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 Haan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Downstream, Renewables and Energy Solutions</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435.12124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18,365.29</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435.12124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18,365.29</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Machteld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 Haan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Downstream, Renewables and Energy Solutions</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American Depositary Shares (SHEL)</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US7802593050</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USD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96.32</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18.37605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1,769.98</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18.37605</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96.32</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1,769.98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New York</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Andrew</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Smith</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President, Trading and Supply</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EUR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645.62164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27,249.95</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645.62164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42.2073</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27,249.95</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Amsterdam</w:t>
            </w:r>
          </w:p>
        </w:tc>
      </w:tr>
    </w:tbl>
    <w:p>
      <w:pPr>
        <w:pStyle w:val="TextBody"/>
        <w:bidi w:val="0"/>
        <w:jc w:val="left"/>
        <w:rPr>
          <w:sz w:val="20"/>
        </w:rPr>
      </w:pPr>
      <w:r>
        <w:rPr>
          <w:sz w:val="20"/>
        </w:rPr>
      </w:r>
    </w:p>
    <w:tbl>
      <w:tblPr>
        <w:tblW w:w="10205" w:type="dxa"/>
        <w:jc w:val="left"/>
        <w:tblInd w:w="-10" w:type="dxa"/>
        <w:tblLayout w:type="fixed"/>
        <w:tblCellMar>
          <w:top w:w="28" w:type="dxa"/>
          <w:left w:w="28" w:type="dxa"/>
          <w:bottom w:w="28" w:type="dxa"/>
          <w:right w:w="28" w:type="dxa"/>
        </w:tblCellMar>
      </w:tblPr>
      <w:tblGrid>
        <w:gridCol w:w="2233"/>
        <w:gridCol w:w="7972"/>
      </w:tblGrid>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1. Details of the person discharging managerial responsibilities/person closely associated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First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Rachel</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Last Name(s)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Solway</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2. Reason for the notification</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Position/status</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Human Resources and Corporate Officer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Initial notification/ amendment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Initial notification</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3. Details of the issuer, emission allowance market participant, auction platform, auctioneer or auction monitor</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Full name of the entity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Shell plc</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Legal Entity Identifier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21380068P1DRHMJ8KU70</w:t>
            </w:r>
          </w:p>
        </w:tc>
      </w:tr>
      <w:tr>
        <w:trPr/>
        <w:tc>
          <w:tcPr>
            <w:tcW w:w="10205"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4. Details of the transaction(s): section to be repeated for (i) each type of instrument; (ii) each type of transaction; (iii) each date; (iv) each place where transactions have been conducted</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Description of the financial instrument</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Ordinary shares of €0.07 each</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Identification Code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GB00BP6MXD84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Nature of the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Dividend shares in respect of shares previously delivered under the annual bonus and/or shares previously vested under employee share plans and held in a Share Plan Account.</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Currency</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GBP</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Price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Volume</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124.66164</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4,510.26</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Aggregated information</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 xml:space="preserve">Volume </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124.66164</w:t>
            </w:r>
          </w:p>
        </w:tc>
      </w:tr>
      <w:tr>
        <w:trPr/>
        <w:tc>
          <w:tcPr>
            <w:tcW w:w="223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Price</w:t>
            </w:r>
          </w:p>
        </w:tc>
        <w:tc>
          <w:tcPr>
            <w:tcW w:w="7972"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36.17998</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4,510.26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 xml:space="preserve">Date of transaction </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24/09/2026</w:t>
            </w:r>
          </w:p>
        </w:tc>
      </w:tr>
      <w:tr>
        <w:trPr/>
        <w:tc>
          <w:tcPr>
            <w:tcW w:w="22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Place of transaction</w:t>
            </w:r>
          </w:p>
        </w:tc>
        <w:tc>
          <w:tcPr>
            <w:tcW w:w="7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London</w:t>
            </w:r>
          </w:p>
        </w:tc>
      </w:tr>
    </w:tbl>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28,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2274</Words>
  <Characters>14224</Characters>
  <CharactersWithSpaces>16138</CharactersWithSpaces>
  <Paragraphs>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