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 w:leader="none" w:pos="7040" w:val="left"/>
        </w:tabs>
        <w:rPr>
          <w:sz w:val="20"/>
          <w:szCs w:val="20"/>
          <w:color w:val="auto"/>
        </w:rPr>
      </w:pPr>
      <w:r>
        <w:rPr>
          <w:rFonts w:ascii="Times New Roman" w:cs="Times New Roman" w:eastAsia="Times New Roman" w:hAnsi="Times New Roman"/>
          <w:sz w:val="22"/>
          <w:szCs w:val="22"/>
          <w:color w:val="auto"/>
        </w:rPr>
        <w:t>Form 20-F [ X ]</w:t>
      </w:r>
      <w:r>
        <w:rPr>
          <w:sz w:val="20"/>
          <w:szCs w:val="20"/>
          <w:color w:val="auto"/>
        </w:rPr>
        <w:tab/>
      </w:r>
      <w:r>
        <w:rPr>
          <w:rFonts w:ascii="Times New Roman" w:cs="Times New Roman" w:eastAsia="Times New Roman" w:hAnsi="Times New Roman"/>
          <w:sz w:val="22"/>
          <w:szCs w:val="22"/>
          <w:color w:val="auto"/>
        </w:rPr>
        <w:t>Form 40-F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Shell announces pause in share buyback programme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to its May 7, 2026 announcement of the start of a $3.0 billion share buyback programme covering an aggregate contract term of approximately three months (the ‘programme’), Shell plc (the ‘Company’) today announces that, following publication of the ARC Resources Ltd. (“ARC”) shareholder circular and due to related securities law requirements that apply to the Company, the programme is suspended from, and including, June 12, 2026 until, and including, market close on July 14, 2026, being the published date of the ARC shareholder meeting. Any buybacks not undertaken due to such suspension will be part of the remaining 2026 programmes (subject to Board approval). The Company will provide a further update if the suspension extends beyond the dates set out herein.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U.S. and Canada: </w:t>
      </w:r>
      <w:r>
        <w:rPr>
          <w:rFonts w:ascii="Times New Roman" w:cs="Times New Roman" w:eastAsia="Times New Roman" w:hAnsi="Times New Roman"/>
          <w:sz w:val="18"/>
          <w:szCs w:val="18"/>
          <w:b w:val="1"/>
          <w:bCs w:val="1"/>
          <w:color w:val="auto"/>
        </w:rPr>
        <w:t>https://www.shell.us/about-us/news-and-insights/media/submit-an-inquiry.html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companies in which Shell plc directly and indirectly owns investments are separate legal entities. In this announcement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announcement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announcement,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 (n) the pace of the energy transition; and (o) changes in trading conditions. No assurance is provided that future dividend payments will match or exceed previous dividend payments. All forward-looking statements contained in this announcement are expressly qualified in their entirety by the cautionary statements contained or referred to in this section. Readers should not place undue reliance on forward-looking statements. Additional risk factors that may affect future results are contained in Shell plc’s Form 20-F for the year ended December 31, 2025 (available at www.shell.com/investors/news-and-filings/sec-filings.html and www.sec.gov). These risk factors also expressly qualify all forward-looking statements contained in this announcement and should be considered by the reader. Each forward-looking statement speaks only as of the date of this announcement, June 12, 2026.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announcement.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Shell’s net carbon intensity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in this announcement we may refer to Shell’s “net carbon intensity” (NCI), which includes Shell’s carbon emissions from the production of our energy products, our suppliers’ carbon emissions in supplying energy for that production and our customers’ carbon emissions associated with their use of the energy products we sell. Shell’s NCI also includes the emissions associated with the production and use of energy products produced by others which Shell purchases for resale. Shell only controls its own emissions. The use of the terms Shell’s “net carbon intensity” or NCI is for convenience only and not intended to suggest these emissions are those of Shell plc or its subsidiaries.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Shell’s net-zero emissions target</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combined Scope 1 and 2 target, NCI target and our oil products ambition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non-GAAP measures</w:t>
      </w:r>
    </w:p>
    <w:p>
      <w:pPr>
        <w:sectPr>
          <w:pgSz w:w="11900" w:h="16838" w:orient="portrait"/>
          <w:cols w:equalWidth="0" w:num="1">
            <w:col w:w="11240"/>
          </w:cols>
          <w:pgMar w:left="320" w:top="684" w:right="339" w:bottom="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This announcement may contain certain forward-looking non-GAAP measures such as free cash flow and underlying operating expenses.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websites referred to in this announcement do not form part of this announcement.</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have used certain terms, such as resources, in this announcement that the United States Securities and Exchange Commission (SEC) strictly prohibits us from including in our filings with the SEC. Investors are urged to consider closely the disclosure in our Form 20-F, File No 1-32575, available on the SEC website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w:t>
      </w:r>
    </w:p>
    <w:p>
      <w:pPr>
        <w:spacing w:after="0" w:line="161" w:lineRule="exact"/>
        <w:rPr>
          <w:rFonts w:ascii="Times New Roman" w:cs="Times New Roman" w:eastAsia="Times New Roman" w:hAnsi="Times New Roman"/>
          <w:sz w:val="18"/>
          <w:szCs w:val="18"/>
          <w:color w:val="auto"/>
        </w:rPr>
      </w:pPr>
    </w:p>
    <w:p>
      <w:pPr>
        <w:ind w:left="560" w:hanging="498"/>
        <w:spacing w:after="0"/>
        <w:tabs>
          <w:tab w:leader="none" w:pos="5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on Form F-4 of Shell Finance US Inc. and Shell plc (Registration Numbers 333-296155 and 333-296155-01); and</w:t>
      </w:r>
    </w:p>
    <w:p>
      <w:pPr>
        <w:spacing w:after="0" w:line="236" w:lineRule="exact"/>
        <w:rPr>
          <w:rFonts w:ascii="Times New Roman" w:cs="Times New Roman" w:eastAsia="Times New Roman" w:hAnsi="Times New Roman"/>
          <w:sz w:val="17"/>
          <w:szCs w:val="17"/>
          <w:color w:val="auto"/>
        </w:rPr>
      </w:pPr>
    </w:p>
    <w:p>
      <w:pPr>
        <w:ind w:left="560" w:hanging="498"/>
        <w:spacing w:after="0"/>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333-272192 and 333-292109).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320" w:top="688" w:right="87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400" w:type="dxa"/>
            <w:vAlign w:val="bottom"/>
          </w:tcPr>
          <w:p>
            <w:pPr>
              <w:spacing w:after="0"/>
              <w:rPr>
                <w:sz w:val="17"/>
                <w:szCs w:val="17"/>
                <w:color w:val="auto"/>
              </w:rPr>
            </w:pPr>
          </w:p>
        </w:tc>
      </w:tr>
      <w:tr>
        <w:trPr>
          <w:trHeight w:val="237"/>
        </w:trPr>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Date: June 15, 2026</w:t>
            </w: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SEAN ASHLEY</w:t>
            </w:r>
          </w:p>
        </w:tc>
      </w:tr>
      <w:tr>
        <w:trPr>
          <w:trHeight w:val="218"/>
        </w:trPr>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Sean Ashley</w:t>
            </w:r>
          </w:p>
        </w:tc>
      </w:tr>
      <w:tr>
        <w:trPr>
          <w:trHeight w:val="234"/>
        </w:trPr>
        <w:tc>
          <w:tcPr>
            <w:tcW w:w="7700" w:type="dxa"/>
            <w:vAlign w:val="bottom"/>
          </w:tcPr>
          <w:p>
            <w:pPr>
              <w:spacing w:after="0"/>
              <w:rPr>
                <w:sz w:val="20"/>
                <w:szCs w:val="20"/>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Company Secretary</w:t>
            </w:r>
          </w:p>
        </w:tc>
      </w:tr>
    </w:tbl>
    <w:p>
      <w:pPr>
        <w:spacing w:after="0" w:line="1" w:lineRule="exact"/>
        <w:rPr>
          <w:sz w:val="20"/>
          <w:szCs w:val="20"/>
          <w:color w:val="auto"/>
        </w:rPr>
      </w:pPr>
    </w:p>
    <w:sectPr>
      <w:pgSz w:w="11900" w:h="16838" w:orient="portrait"/>
      <w:cols w:equalWidth="0" w:num="1">
        <w:col w:w="11160"/>
      </w:cols>
      <w:pgMar w:left="320" w:top="67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2026-06-15T06:49:50Z</dcterms:created>
  <dcterms:modified xsi:type="dcterms:W3CDTF">2026-06-15T06:49:50Z</dcterms:modified>
</cp:coreProperties>
</file>